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7EB47">
      <w:pPr>
        <w:widowControl/>
        <w:shd w:val="clear" w:color="auto" w:fill="FFFFFF"/>
        <w:adjustRightInd w:val="0"/>
        <w:snapToGrid w:val="0"/>
        <w:spacing w:line="560" w:lineRule="exact"/>
        <w:jc w:val="left"/>
        <w:outlineLvl w:val="0"/>
        <w:rPr>
          <w:rFonts w:hint="eastAsia" w:ascii="方正黑体_GBK" w:hAnsi="方正黑体_GBK" w:eastAsia="方正黑体_GBK" w:cs="方正黑体_GBK"/>
          <w:kern w:val="0"/>
          <w:sz w:val="32"/>
          <w:szCs w:val="32"/>
          <w:shd w:val="clear" w:color="auto" w:fill="FFFFFF"/>
          <w:lang w:val="en-US" w:eastAsia="zh-CN" w:bidi="ar"/>
        </w:rPr>
      </w:pPr>
      <w:r>
        <w:rPr>
          <w:rFonts w:hint="eastAsia" w:ascii="方正黑体_GBK" w:hAnsi="方正黑体_GBK" w:eastAsia="方正黑体_GBK" w:cs="方正黑体_GBK"/>
          <w:kern w:val="0"/>
          <w:sz w:val="32"/>
          <w:szCs w:val="32"/>
          <w:shd w:val="clear" w:color="auto" w:fill="FFFFFF"/>
          <w:lang w:val="en-US" w:eastAsia="zh-CN" w:bidi="ar"/>
        </w:rPr>
        <w:t>附件1</w:t>
      </w:r>
    </w:p>
    <w:p w14:paraId="3F781178">
      <w:pPr>
        <w:widowControl/>
        <w:shd w:val="clear" w:color="auto" w:fill="FFFFFF"/>
        <w:adjustRightInd w:val="0"/>
        <w:snapToGrid w:val="0"/>
        <w:spacing w:line="560" w:lineRule="exact"/>
        <w:jc w:val="center"/>
        <w:outlineLvl w:val="0"/>
        <w:rPr>
          <w:rFonts w:hint="eastAsia" w:ascii="方正小标宋_GBK" w:hAnsi="方正小标宋_GBK" w:eastAsia="方正小标宋_GBK" w:cs="方正小标宋_GBK"/>
          <w:kern w:val="0"/>
          <w:sz w:val="44"/>
          <w:szCs w:val="44"/>
          <w:shd w:val="clear" w:color="auto" w:fill="FFFFFF"/>
          <w:lang w:val="en-US" w:eastAsia="zh-CN" w:bidi="ar"/>
        </w:rPr>
      </w:pPr>
      <w:r>
        <w:rPr>
          <w:rFonts w:hint="eastAsia" w:ascii="方正小标宋_GBK" w:hAnsi="方正小标宋_GBK" w:eastAsia="方正小标宋_GBK" w:cs="方正小标宋_GBK"/>
          <w:kern w:val="0"/>
          <w:sz w:val="44"/>
          <w:szCs w:val="44"/>
          <w:shd w:val="clear" w:color="auto" w:fill="FFFFFF"/>
          <w:lang w:val="en-US" w:eastAsia="zh-CN" w:bidi="ar"/>
        </w:rPr>
        <w:t>2026年安徽省大学生智慧财税创新大赛</w:t>
      </w:r>
    </w:p>
    <w:p w14:paraId="20235968">
      <w:pPr>
        <w:widowControl/>
        <w:shd w:val="clear" w:color="auto" w:fill="FFFFFF"/>
        <w:adjustRightInd w:val="0"/>
        <w:snapToGrid w:val="0"/>
        <w:spacing w:line="560" w:lineRule="exact"/>
        <w:jc w:val="center"/>
        <w:outlineLvl w:val="0"/>
        <w:rPr>
          <w:rFonts w:hint="default" w:ascii="方正小标宋_GBK" w:hAnsi="方正小标宋_GBK" w:eastAsia="方正小标宋_GBK" w:cs="方正小标宋_GBK"/>
          <w:kern w:val="0"/>
          <w:sz w:val="44"/>
          <w:szCs w:val="44"/>
          <w:shd w:val="clear" w:color="auto" w:fill="FFFFFF"/>
          <w:lang w:val="en-US" w:eastAsia="zh-CN" w:bidi="ar"/>
        </w:rPr>
      </w:pPr>
      <w:r>
        <w:rPr>
          <w:rFonts w:hint="eastAsia" w:ascii="方正小标宋_GBK" w:hAnsi="方正小标宋_GBK" w:eastAsia="方正小标宋_GBK" w:cs="方正小标宋_GBK"/>
          <w:kern w:val="0"/>
          <w:sz w:val="44"/>
          <w:szCs w:val="44"/>
          <w:shd w:val="clear" w:color="auto" w:fill="FFFFFF"/>
          <w:lang w:val="en-US" w:eastAsia="zh-CN" w:bidi="ar"/>
        </w:rPr>
        <w:t>赛项规程</w:t>
      </w:r>
    </w:p>
    <w:p w14:paraId="778A3EDB">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Times New Roman" w:hAnsi="Times New Roman" w:eastAsia="方正黑体_GBK" w:cs="Times New Roman"/>
          <w:b w:val="0"/>
          <w:bCs w:val="0"/>
          <w:color w:val="auto"/>
          <w:kern w:val="0"/>
          <w:sz w:val="32"/>
          <w:szCs w:val="32"/>
          <w:shd w:val="clear" w:color="auto" w:fill="FFFFFF"/>
          <w:lang w:val="en-US" w:eastAsia="zh-CN" w:bidi="ar-SA"/>
        </w:rPr>
      </w:pPr>
    </w:p>
    <w:p w14:paraId="70310ECA">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Times New Roman" w:hAnsi="Times New Roman" w:eastAsia="方正黑体_GBK" w:cs="Times New Roman"/>
          <w:b w:val="0"/>
          <w:bCs w:val="0"/>
          <w:color w:val="auto"/>
          <w:kern w:val="0"/>
          <w:sz w:val="32"/>
          <w:szCs w:val="32"/>
          <w:shd w:val="clear" w:color="auto" w:fill="FFFFFF"/>
          <w:lang w:val="en-US" w:eastAsia="zh-CN" w:bidi="ar-SA"/>
        </w:rPr>
      </w:pPr>
      <w:r>
        <w:rPr>
          <w:rFonts w:hint="eastAsia" w:ascii="Times New Roman" w:hAnsi="Times New Roman" w:eastAsia="方正黑体_GBK" w:cs="Times New Roman"/>
          <w:b w:val="0"/>
          <w:bCs w:val="0"/>
          <w:color w:val="auto"/>
          <w:kern w:val="0"/>
          <w:sz w:val="32"/>
          <w:szCs w:val="32"/>
          <w:shd w:val="clear" w:color="auto" w:fill="FFFFFF"/>
          <w:lang w:val="en-US" w:eastAsia="zh-CN" w:bidi="ar-SA"/>
        </w:rPr>
        <w:t>一、赛项名称</w:t>
      </w:r>
    </w:p>
    <w:p w14:paraId="49CF00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80" w:lineRule="exact"/>
        <w:ind w:left="0" w:right="0" w:firstLine="560"/>
        <w:jc w:val="left"/>
        <w:textAlignment w:val="auto"/>
        <w:rPr>
          <w:rFonts w:hint="eastAsia" w:ascii="仿宋_GB2312" w:hAnsi="Times New Roman" w:eastAsia="仿宋_GB2312" w:cs="仿宋_GB2312"/>
          <w:i w:val="0"/>
          <w:iCs w:val="0"/>
          <w:caps w:val="0"/>
          <w:color w:val="auto"/>
          <w:spacing w:val="0"/>
          <w:kern w:val="0"/>
          <w:sz w:val="32"/>
          <w:szCs w:val="32"/>
          <w:shd w:val="clear" w:fill="FFFFFF"/>
          <w:lang w:val="en-US" w:eastAsia="zh-CN" w:bidi="ar"/>
        </w:rPr>
      </w:pPr>
      <w:r>
        <w:rPr>
          <w:rFonts w:hint="eastAsia" w:ascii="仿宋_GB2312" w:hAnsi="Times New Roman" w:eastAsia="仿宋_GB2312" w:cs="仿宋_GB2312"/>
          <w:i w:val="0"/>
          <w:iCs w:val="0"/>
          <w:caps w:val="0"/>
          <w:color w:val="auto"/>
          <w:spacing w:val="0"/>
          <w:kern w:val="0"/>
          <w:sz w:val="32"/>
          <w:szCs w:val="32"/>
          <w:shd w:val="clear" w:fill="FFFFFF"/>
          <w:lang w:val="en-US" w:eastAsia="zh-CN" w:bidi="ar"/>
        </w:rPr>
        <w:t>赛项名称：安徽省大学生智慧财税创新大赛</w:t>
      </w:r>
    </w:p>
    <w:p w14:paraId="5FBB5F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80" w:lineRule="exact"/>
        <w:ind w:left="0" w:right="0" w:firstLine="560"/>
        <w:jc w:val="left"/>
        <w:textAlignment w:val="auto"/>
        <w:rPr>
          <w:rFonts w:hint="eastAsia" w:ascii="仿宋_GB2312" w:hAnsi="Times New Roman" w:eastAsia="仿宋_GB2312" w:cs="仿宋_GB2312"/>
          <w:i w:val="0"/>
          <w:iCs w:val="0"/>
          <w:caps w:val="0"/>
          <w:color w:val="auto"/>
          <w:spacing w:val="0"/>
          <w:kern w:val="0"/>
          <w:sz w:val="32"/>
          <w:szCs w:val="32"/>
          <w:shd w:val="clear" w:fill="FFFFFF"/>
          <w:lang w:val="en-US" w:eastAsia="zh-CN" w:bidi="ar"/>
        </w:rPr>
      </w:pPr>
      <w:r>
        <w:rPr>
          <w:rFonts w:hint="eastAsia" w:ascii="仿宋_GB2312" w:hAnsi="Times New Roman" w:eastAsia="仿宋_GB2312" w:cs="仿宋_GB2312"/>
          <w:i w:val="0"/>
          <w:iCs w:val="0"/>
          <w:caps w:val="0"/>
          <w:color w:val="auto"/>
          <w:spacing w:val="0"/>
          <w:kern w:val="0"/>
          <w:sz w:val="32"/>
          <w:szCs w:val="32"/>
          <w:shd w:val="clear" w:fill="FFFFFF"/>
          <w:lang w:val="en-US" w:eastAsia="zh-CN" w:bidi="ar"/>
        </w:rPr>
        <w:t>英语名称：Smart Finance Taxation Innovation Competition for College Students in Anhui Province</w:t>
      </w:r>
    </w:p>
    <w:p w14:paraId="16E4DBA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Times New Roman" w:hAnsi="Times New Roman" w:eastAsia="方正黑体_GBK" w:cs="Times New Roman"/>
          <w:b w:val="0"/>
          <w:bCs w:val="0"/>
          <w:color w:val="auto"/>
          <w:kern w:val="0"/>
          <w:sz w:val="32"/>
          <w:szCs w:val="32"/>
          <w:shd w:val="clear" w:color="auto" w:fill="FFFFFF"/>
          <w:lang w:val="en-US" w:eastAsia="zh-CN" w:bidi="ar-SA"/>
        </w:rPr>
      </w:pPr>
      <w:r>
        <w:rPr>
          <w:rFonts w:hint="eastAsia" w:ascii="Times New Roman" w:hAnsi="Times New Roman" w:eastAsia="方正黑体_GBK" w:cs="Times New Roman"/>
          <w:b w:val="0"/>
          <w:bCs w:val="0"/>
          <w:color w:val="auto"/>
          <w:kern w:val="0"/>
          <w:sz w:val="32"/>
          <w:szCs w:val="32"/>
          <w:shd w:val="clear" w:color="auto" w:fill="FFFFFF"/>
          <w:lang w:val="en-US" w:eastAsia="zh-CN" w:bidi="ar-SA"/>
        </w:rPr>
        <w:t>二、组织机构</w:t>
      </w:r>
    </w:p>
    <w:p w14:paraId="1895658C">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主办单位：安徽省教育厅</w:t>
      </w:r>
    </w:p>
    <w:p w14:paraId="153D4045">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rPr>
        <w:t>承办单位：安徽财经大学</w:t>
      </w:r>
    </w:p>
    <w:p w14:paraId="0815855D">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仿宋_GB2312" w:hAnsi="Times New Roman" w:eastAsia="仿宋_GB2312" w:cs="仿宋_GB2312"/>
          <w:kern w:val="0"/>
          <w:sz w:val="32"/>
          <w:szCs w:val="32"/>
          <w:shd w:val="clear" w:color="auto" w:fill="FFFFFF"/>
          <w:lang w:val="en-US" w:eastAsia="zh-CN" w:bidi="ar"/>
        </w:rPr>
      </w:pPr>
      <w:r>
        <w:rPr>
          <w:rFonts w:hint="eastAsia" w:ascii="仿宋_GB2312" w:hAnsi="Times New Roman" w:eastAsia="仿宋_GB2312" w:cs="仿宋_GB2312"/>
          <w:kern w:val="0"/>
          <w:sz w:val="32"/>
          <w:szCs w:val="32"/>
          <w:shd w:val="clear" w:color="auto" w:fill="FFFFFF"/>
          <w:lang w:val="en-US" w:eastAsia="zh-CN" w:bidi="ar"/>
        </w:rPr>
        <w:t>组织委员会、</w:t>
      </w:r>
      <w:r>
        <w:rPr>
          <w:rFonts w:ascii="仿宋_GB2312" w:hAnsi="Times New Roman" w:eastAsia="仿宋_GB2312" w:cs="仿宋_GB2312"/>
          <w:kern w:val="0"/>
          <w:sz w:val="32"/>
          <w:szCs w:val="32"/>
          <w:shd w:val="clear" w:color="auto" w:fill="FFFFFF"/>
          <w:lang w:val="en-US" w:eastAsia="zh-CN" w:bidi="ar"/>
        </w:rPr>
        <w:t>专家委员会</w:t>
      </w:r>
      <w:r>
        <w:rPr>
          <w:rFonts w:hint="eastAsia" w:ascii="仿宋_GB2312" w:hAnsi="Times New Roman" w:eastAsia="仿宋_GB2312" w:cs="仿宋_GB2312"/>
          <w:kern w:val="0"/>
          <w:sz w:val="32"/>
          <w:szCs w:val="32"/>
          <w:shd w:val="clear" w:color="auto" w:fill="FFFFFF"/>
          <w:lang w:val="en-US" w:eastAsia="zh-CN" w:bidi="ar"/>
        </w:rPr>
        <w:t>、</w:t>
      </w:r>
      <w:r>
        <w:rPr>
          <w:rFonts w:ascii="仿宋_GB2312" w:hAnsi="Times New Roman" w:eastAsia="仿宋_GB2312" w:cs="仿宋_GB2312"/>
          <w:kern w:val="0"/>
          <w:sz w:val="32"/>
          <w:szCs w:val="32"/>
          <w:shd w:val="clear" w:color="auto" w:fill="FFFFFF"/>
          <w:lang w:val="en-US" w:eastAsia="zh-CN" w:bidi="ar"/>
        </w:rPr>
        <w:t>仲裁委员会</w:t>
      </w:r>
      <w:r>
        <w:rPr>
          <w:rFonts w:hint="eastAsia" w:ascii="仿宋_GB2312" w:hAnsi="Times New Roman" w:eastAsia="仿宋_GB2312" w:cs="仿宋_GB2312"/>
          <w:kern w:val="0"/>
          <w:sz w:val="32"/>
          <w:szCs w:val="32"/>
          <w:shd w:val="clear" w:color="auto" w:fill="FFFFFF"/>
          <w:lang w:val="en-US" w:eastAsia="zh-CN" w:bidi="ar"/>
        </w:rPr>
        <w:t>、</w:t>
      </w:r>
      <w:r>
        <w:rPr>
          <w:rFonts w:ascii="仿宋_GB2312" w:hAnsi="Times New Roman" w:eastAsia="仿宋_GB2312" w:cs="仿宋_GB2312"/>
          <w:kern w:val="0"/>
          <w:sz w:val="32"/>
          <w:szCs w:val="32"/>
          <w:shd w:val="clear" w:color="auto" w:fill="FFFFFF"/>
          <w:lang w:val="en-US" w:eastAsia="zh-CN" w:bidi="ar"/>
        </w:rPr>
        <w:t>秘书处</w:t>
      </w:r>
      <w:r>
        <w:rPr>
          <w:rFonts w:hint="eastAsia" w:ascii="仿宋_GB2312" w:hAnsi="Times New Roman" w:eastAsia="仿宋_GB2312" w:cs="仿宋_GB2312"/>
          <w:kern w:val="0"/>
          <w:sz w:val="32"/>
          <w:szCs w:val="32"/>
          <w:shd w:val="clear" w:color="auto" w:fill="FFFFFF"/>
          <w:lang w:val="en-US" w:eastAsia="zh-CN" w:bidi="ar"/>
        </w:rPr>
        <w:t>、宣传联络组详见附件2。</w:t>
      </w:r>
    </w:p>
    <w:p w14:paraId="53EB043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三、竞赛目的</w:t>
      </w:r>
    </w:p>
    <w:p w14:paraId="4DC7C373">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大赛聚焦财税实务技能应用，夯实财务核算、税法、预算营运管理基础，提升Python数据处理与智能分析、AI智能体与管理会计工具应用能力，树立数据治理与ESG可持续经营意识，培养兼具数智技术与管理思维的高端财经人才。</w:t>
      </w:r>
    </w:p>
    <w:p w14:paraId="629C1F45">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四、</w:t>
      </w:r>
      <w:r>
        <w:rPr>
          <w:rFonts w:hint="eastAsia" w:ascii="黑体" w:hAnsi="黑体" w:eastAsia="黑体" w:cs="黑体"/>
          <w:b w:val="0"/>
          <w:bCs w:val="0"/>
          <w:color w:val="auto"/>
          <w:kern w:val="0"/>
          <w:sz w:val="32"/>
          <w:szCs w:val="32"/>
          <w:lang w:val="en-US" w:eastAsia="zh-CN"/>
        </w:rPr>
        <w:t>竞赛</w:t>
      </w:r>
      <w:r>
        <w:rPr>
          <w:rFonts w:hint="eastAsia" w:ascii="黑体" w:hAnsi="黑体" w:eastAsia="黑体" w:cs="黑体"/>
          <w:b w:val="0"/>
          <w:bCs w:val="0"/>
          <w:color w:val="auto"/>
          <w:kern w:val="0"/>
          <w:sz w:val="32"/>
          <w:szCs w:val="32"/>
        </w:rPr>
        <w:t>内容</w:t>
      </w:r>
    </w:p>
    <w:p w14:paraId="015736FC">
      <w:pPr>
        <w:pStyle w:val="3"/>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竞赛为技能赛，包括初赛和决赛两个环节。</w:t>
      </w:r>
    </w:p>
    <w:p w14:paraId="43B10777">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rPr>
        <w:t>（一）</w:t>
      </w:r>
      <w:r>
        <w:rPr>
          <w:rFonts w:hint="eastAsia" w:ascii="仿宋" w:hAnsi="仿宋" w:eastAsia="仿宋" w:cs="仿宋"/>
          <w:b/>
          <w:bCs/>
          <w:color w:val="auto"/>
          <w:kern w:val="0"/>
          <w:sz w:val="32"/>
          <w:szCs w:val="32"/>
          <w:lang w:val="en-US" w:eastAsia="zh-CN"/>
        </w:rPr>
        <w:t>比赛方式</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395"/>
        <w:gridCol w:w="1440"/>
        <w:gridCol w:w="4343"/>
      </w:tblGrid>
      <w:tr w14:paraId="337D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vAlign w:val="center"/>
          </w:tcPr>
          <w:p w14:paraId="7288FF7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比赛阶段</w:t>
            </w:r>
          </w:p>
        </w:tc>
        <w:tc>
          <w:tcPr>
            <w:tcW w:w="1395" w:type="dxa"/>
            <w:vAlign w:val="center"/>
          </w:tcPr>
          <w:p w14:paraId="241A60F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竞赛形式</w:t>
            </w:r>
          </w:p>
        </w:tc>
        <w:tc>
          <w:tcPr>
            <w:tcW w:w="1440" w:type="dxa"/>
            <w:vAlign w:val="center"/>
          </w:tcPr>
          <w:p w14:paraId="68C06D0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竞赛模式</w:t>
            </w:r>
          </w:p>
        </w:tc>
        <w:tc>
          <w:tcPr>
            <w:tcW w:w="4343" w:type="dxa"/>
            <w:vAlign w:val="center"/>
          </w:tcPr>
          <w:p w14:paraId="48CF898C">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kern w:val="0"/>
                <w:sz w:val="28"/>
                <w:szCs w:val="28"/>
                <w:vertAlign w:val="baseline"/>
                <w:lang w:val="en-US" w:eastAsia="zh-CN"/>
              </w:rPr>
            </w:pPr>
            <w:r>
              <w:rPr>
                <w:rFonts w:hint="eastAsia" w:ascii="仿宋" w:hAnsi="仿宋" w:eastAsia="仿宋" w:cs="仿宋"/>
                <w:b/>
                <w:bCs/>
                <w:color w:val="auto"/>
                <w:kern w:val="0"/>
                <w:sz w:val="28"/>
                <w:szCs w:val="28"/>
                <w:vertAlign w:val="baseline"/>
                <w:lang w:val="en-US" w:eastAsia="zh-CN"/>
              </w:rPr>
              <w:t>竞赛方式</w:t>
            </w:r>
          </w:p>
        </w:tc>
      </w:tr>
      <w:tr w14:paraId="238F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vAlign w:val="center"/>
          </w:tcPr>
          <w:p w14:paraId="3E91CF0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初赛</w:t>
            </w:r>
          </w:p>
          <w:p w14:paraId="531EDF0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（校赛）</w:t>
            </w:r>
          </w:p>
        </w:tc>
        <w:tc>
          <w:tcPr>
            <w:tcW w:w="1395" w:type="dxa"/>
            <w:vAlign w:val="center"/>
          </w:tcPr>
          <w:p w14:paraId="0ADB1DA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理论赛</w:t>
            </w:r>
          </w:p>
        </w:tc>
        <w:tc>
          <w:tcPr>
            <w:tcW w:w="1440" w:type="dxa"/>
            <w:vAlign w:val="center"/>
          </w:tcPr>
          <w:p w14:paraId="4CD7597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单人单机</w:t>
            </w:r>
          </w:p>
        </w:tc>
        <w:tc>
          <w:tcPr>
            <w:tcW w:w="4343" w:type="dxa"/>
          </w:tcPr>
          <w:p w14:paraId="7A371359">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初赛为理论知识赛，采用单人单机操作答题，时间为60分钟。理论赛期间不能相互交流。</w:t>
            </w:r>
          </w:p>
        </w:tc>
      </w:tr>
      <w:tr w14:paraId="438F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vAlign w:val="center"/>
          </w:tcPr>
          <w:p w14:paraId="5E6AEF25">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决赛</w:t>
            </w:r>
          </w:p>
        </w:tc>
        <w:tc>
          <w:tcPr>
            <w:tcW w:w="1395" w:type="dxa"/>
            <w:vAlign w:val="center"/>
          </w:tcPr>
          <w:p w14:paraId="378013A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实操赛</w:t>
            </w:r>
          </w:p>
        </w:tc>
        <w:tc>
          <w:tcPr>
            <w:tcW w:w="1440" w:type="dxa"/>
            <w:vAlign w:val="center"/>
          </w:tcPr>
          <w:p w14:paraId="5BDDD36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4人团队</w:t>
            </w:r>
          </w:p>
        </w:tc>
        <w:tc>
          <w:tcPr>
            <w:tcW w:w="4343" w:type="dxa"/>
          </w:tcPr>
          <w:p w14:paraId="2F9331D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决赛为AI财税大数据分析与管理决策竞赛，采用团队整体作答，时间为180分钟。竞赛期间团队成员各自独立完成比赛任务，不能相互交流。</w:t>
            </w:r>
          </w:p>
        </w:tc>
      </w:tr>
    </w:tbl>
    <w:p w14:paraId="580E635C">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二</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初赛考核内容</w:t>
      </w:r>
    </w:p>
    <w:p w14:paraId="094EF991">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会计的基础理论知识（包括会计基本假设、会计信息质量要求、会计要素与会计恒等式、会计核算基础、会计计量属性、会计科目与账户、借贷记账方法、会计凭证与账簿等）、企业基本经济业务的核算、报表的编制及政府会计、事业单位会计部分内容；税收基础理论知识、18种税的识别与计算以及税款征收等。</w:t>
      </w:r>
    </w:p>
    <w:p w14:paraId="20ED7679">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三</w:t>
      </w:r>
      <w:r>
        <w:rPr>
          <w:rFonts w:hint="eastAsia" w:ascii="仿宋" w:hAnsi="仿宋" w:eastAsia="仿宋" w:cs="仿宋"/>
          <w:b/>
          <w:bCs/>
          <w:color w:val="auto"/>
          <w:kern w:val="0"/>
          <w:sz w:val="32"/>
          <w:szCs w:val="32"/>
        </w:rPr>
        <w:t>）</w:t>
      </w:r>
      <w:r>
        <w:rPr>
          <w:rFonts w:hint="eastAsia" w:ascii="仿宋" w:hAnsi="仿宋" w:eastAsia="仿宋" w:cs="仿宋"/>
          <w:b/>
          <w:bCs/>
          <w:color w:val="auto"/>
          <w:kern w:val="0"/>
          <w:sz w:val="32"/>
          <w:szCs w:val="32"/>
          <w:lang w:val="en-US" w:eastAsia="zh-CN"/>
        </w:rPr>
        <w:t>决赛考核内容</w:t>
      </w:r>
    </w:p>
    <w:p w14:paraId="284EA606">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本次省级决赛过程中涉及财税知识全部依据截止时间为2026年6月30日的企业会计准则与税收法规。</w:t>
      </w:r>
    </w:p>
    <w:p w14:paraId="735C2158">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结合企业实际财税与管理工作流程开展考核，运用Python完成业财税数据处理、三大报表编制、财务指标与经营数据分析及可视化，借助AI智能体开展数据预测和异常检测。同时依据管理会计相关指引，运用专业模型完成战略、预算、营运、投融资及风险管理案例分析，融合ESG理念开展综合研判，提出可持续发展决策与改进建议。</w:t>
      </w:r>
    </w:p>
    <w:p w14:paraId="694F5C96">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考核参赛队员是否具备AI财税大数据分析与管理决策能力，具体包括运用Python结合会计规则编制三大财务报表、开展财务指标分析，实现业财税数据源的分析处理与可视化展示；掌握战略、绩效、风险管理工具及预算、成本、营运、投融资等管理会计方法，完成方案对比与决策建议；理解人工智能基础理论与常用算法，能借助 Python及AI智能体完成财务数据分类、趋势预测与异常检测并验证结果；深入掌握ESG在企业管理决策影响，开展量化分析。</w:t>
      </w:r>
    </w:p>
    <w:p w14:paraId="309DF429">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决赛阶段的理论和实操比赛内容详见附件。</w:t>
      </w:r>
    </w:p>
    <w:p w14:paraId="53F6B45D">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562"/>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4.成绩评定</w:t>
      </w:r>
    </w:p>
    <w:p w14:paraId="52A248AD">
      <w:pPr>
        <w:pStyle w:val="3"/>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网络自动评分，答对得相应分值，答错不计分， 团队分数累加。</w:t>
      </w:r>
    </w:p>
    <w:p w14:paraId="72E14571">
      <w:pPr>
        <w:pStyle w:val="3"/>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黑体" w:hAnsi="黑体" w:eastAsia="黑体" w:cs="黑体"/>
          <w:b/>
          <w:bCs/>
          <w:color w:val="000000" w:themeColor="text1"/>
          <w:kern w:val="0"/>
          <w:sz w:val="32"/>
          <w:szCs w:val="32"/>
          <w:shd w:val="clear" w:color="auto" w:fill="FFFFFF"/>
          <w:lang w:bidi="ar"/>
          <w14:textFill>
            <w14:solidFill>
              <w14:schemeClr w14:val="tx1"/>
            </w14:solidFill>
          </w14:textFill>
        </w:rPr>
        <w:t>五、参赛报名</w:t>
      </w:r>
    </w:p>
    <w:p w14:paraId="4A38C5E7">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（一）参赛对象</w:t>
      </w:r>
    </w:p>
    <w:p w14:paraId="7FF7959A">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安徽省高等学校（含本科和高职高专类院校）具有正式学籍的全日制在校本、专科学生和研究生，均可按要求组队参赛。参赛选手所读专业须为经济类、管理类。</w:t>
      </w:r>
    </w:p>
    <w:p w14:paraId="5FADDD1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（二）报名要求</w:t>
      </w:r>
    </w:p>
    <w:p w14:paraId="1511523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每支参赛队伍由4名选手组成，每支队伍指定1-2名指导老师，初赛由各校自行组织，</w:t>
      </w:r>
      <w:r>
        <w:rPr>
          <w:rFonts w:hint="eastAsia" w:ascii="仿宋" w:hAnsi="仿宋" w:eastAsia="仿宋" w:cs="仿宋"/>
          <w:color w:val="000000" w:themeColor="text1"/>
          <w:kern w:val="0"/>
          <w:sz w:val="32"/>
          <w:szCs w:val="32"/>
          <w:lang w:val="en-US" w:eastAsia="zh-CN"/>
          <w14:textFill>
            <w14:solidFill>
              <w14:schemeClr w14:val="tx1"/>
            </w14:solidFill>
          </w14:textFill>
        </w:rPr>
        <w:t>参赛队伍数量不限，省赛每校限报2支参赛队伍。</w:t>
      </w:r>
    </w:p>
    <w:p w14:paraId="3F570A8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（三）报名方式</w:t>
      </w:r>
    </w:p>
    <w:p w14:paraId="0D4A0B1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技能赛报名请登录大赛官网（</w:t>
      </w:r>
      <w:bookmarkStart w:id="0" w:name="OLE_LINK1"/>
      <w:r>
        <w:rPr>
          <w:rFonts w:hint="eastAsia" w:ascii="仿宋" w:hAnsi="仿宋" w:eastAsia="仿宋" w:cs="仿宋"/>
          <w:color w:val="auto"/>
          <w:kern w:val="0"/>
          <w:sz w:val="32"/>
          <w:szCs w:val="32"/>
          <w:lang w:val="en-US" w:eastAsia="zh-CN"/>
        </w:rPr>
        <w:fldChar w:fldCharType="begin"/>
      </w:r>
      <w:r>
        <w:rPr>
          <w:rFonts w:hint="eastAsia" w:ascii="仿宋" w:hAnsi="仿宋" w:eastAsia="仿宋" w:cs="仿宋"/>
          <w:color w:val="auto"/>
          <w:kern w:val="0"/>
          <w:sz w:val="32"/>
          <w:szCs w:val="32"/>
          <w:lang w:val="en-US" w:eastAsia="zh-CN"/>
        </w:rPr>
        <w:instrText xml:space="preserve"> HYPERLINK "http://www.ahcsds.cn/" </w:instrText>
      </w:r>
      <w:r>
        <w:rPr>
          <w:rFonts w:hint="eastAsia" w:ascii="仿宋" w:hAnsi="仿宋" w:eastAsia="仿宋" w:cs="仿宋"/>
          <w:color w:val="auto"/>
          <w:kern w:val="0"/>
          <w:sz w:val="32"/>
          <w:szCs w:val="32"/>
          <w:lang w:val="en-US" w:eastAsia="zh-CN"/>
        </w:rPr>
        <w:fldChar w:fldCharType="separate"/>
      </w:r>
      <w:r>
        <w:rPr>
          <w:rFonts w:hint="eastAsia" w:ascii="仿宋" w:hAnsi="仿宋" w:eastAsia="仿宋" w:cs="仿宋"/>
          <w:color w:val="auto"/>
          <w:kern w:val="0"/>
          <w:sz w:val="32"/>
          <w:szCs w:val="32"/>
          <w:lang w:val="en-US" w:eastAsia="zh-CN"/>
        </w:rPr>
        <w:t>www.ahcsds.cn</w:t>
      </w:r>
      <w:r>
        <w:rPr>
          <w:rFonts w:hint="eastAsia" w:ascii="仿宋" w:hAnsi="仿宋" w:eastAsia="仿宋" w:cs="仿宋"/>
          <w:color w:val="auto"/>
          <w:kern w:val="0"/>
          <w:sz w:val="32"/>
          <w:szCs w:val="32"/>
          <w:lang w:val="en-US" w:eastAsia="zh-CN"/>
        </w:rPr>
        <w:fldChar w:fldCharType="end"/>
      </w:r>
      <w:bookmarkEnd w:id="0"/>
      <w:r>
        <w:rPr>
          <w:rFonts w:hint="eastAsia" w:ascii="仿宋" w:hAnsi="仿宋" w:eastAsia="仿宋" w:cs="仿宋"/>
          <w:color w:val="auto"/>
          <w:kern w:val="0"/>
          <w:sz w:val="32"/>
          <w:szCs w:val="32"/>
          <w:lang w:val="en-US" w:eastAsia="zh-CN"/>
        </w:rPr>
        <w:t>），根据网站提示注册报名。</w:t>
      </w:r>
    </w:p>
    <w:p w14:paraId="5876E33F">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技能赛决赛报名截止时间：2026年10月16日24时</w:t>
      </w:r>
    </w:p>
    <w:p w14:paraId="10D5D87D">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所有参赛团队报名时，在线填写完整的报名信息，并提交附件资料。技能赛附件资料包括领队、指导教师、参赛学生承诺书（见附件）签字扫描件，专家、裁判、组委会及秘书处成员承诺书由大赛组委会单独收集汇总。</w:t>
      </w:r>
    </w:p>
    <w:p w14:paraId="58F70E9D">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六、赛程安排</w:t>
      </w:r>
    </w:p>
    <w:p w14:paraId="1960AC0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w:t>
      </w:r>
      <w:r>
        <w:rPr>
          <w:rFonts w:hint="eastAsia" w:ascii="仿宋" w:hAnsi="仿宋" w:eastAsia="仿宋" w:cs="仿宋"/>
          <w:b/>
          <w:bCs/>
          <w:color w:val="000000" w:themeColor="text1"/>
          <w:kern w:val="0"/>
          <w:sz w:val="32"/>
          <w:szCs w:val="32"/>
          <w:shd w:val="clear" w:color="auto" w:fill="FFFFFF"/>
          <w:lang w:val="en-US" w:eastAsia="zh-CN" w:bidi="ar"/>
          <w14:textFill>
            <w14:solidFill>
              <w14:schemeClr w14:val="tx1"/>
            </w14:solidFill>
          </w14:textFill>
        </w:rPr>
        <w:t>一</w:t>
      </w: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）技能赛初赛阶段</w:t>
      </w:r>
    </w:p>
    <w:p w14:paraId="51407D83">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初赛</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校赛</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时间：</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2026年9月16日-</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2026</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年10月</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15</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日</w:t>
      </w:r>
    </w:p>
    <w:p w14:paraId="3A473F64">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w:t>
      </w:r>
      <w:r>
        <w:rPr>
          <w:rFonts w:hint="eastAsia" w:ascii="仿宋" w:hAnsi="仿宋" w:eastAsia="仿宋" w:cs="仿宋"/>
          <w:b/>
          <w:bCs/>
          <w:color w:val="000000" w:themeColor="text1"/>
          <w:kern w:val="0"/>
          <w:sz w:val="32"/>
          <w:szCs w:val="32"/>
          <w:shd w:val="clear" w:color="auto" w:fill="FFFFFF"/>
          <w:lang w:val="en-US" w:eastAsia="zh-CN" w:bidi="ar"/>
          <w14:textFill>
            <w14:solidFill>
              <w14:schemeClr w14:val="tx1"/>
            </w14:solidFill>
          </w14:textFill>
        </w:rPr>
        <w:t>二</w:t>
      </w: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）技能赛决赛阶段</w:t>
      </w:r>
    </w:p>
    <w:p w14:paraId="160A54E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技能赛决赛暂定时间：</w:t>
      </w:r>
      <w:r>
        <w:rPr>
          <w:rFonts w:hint="eastAsia" w:ascii="仿宋" w:hAnsi="仿宋" w:eastAsia="仿宋" w:cs="仿宋"/>
          <w:color w:val="000000" w:themeColor="text1"/>
          <w:kern w:val="0"/>
          <w:sz w:val="32"/>
          <w:szCs w:val="32"/>
          <w:shd w:val="clear" w:color="auto" w:fill="FFFFFF"/>
          <w:lang w:eastAsia="zh-CN" w:bidi="ar"/>
          <w14:textFill>
            <w14:solidFill>
              <w14:schemeClr w14:val="tx1"/>
            </w14:solidFill>
          </w14:textFill>
        </w:rPr>
        <w:t>2026</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年10月2</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5</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日</w:t>
      </w:r>
    </w:p>
    <w:p w14:paraId="6847FFEE">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技能赛决赛地点：安徽财经大学</w:t>
      </w:r>
    </w:p>
    <w:p w14:paraId="20B41532">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七、奖项设置</w:t>
      </w:r>
    </w:p>
    <w:p w14:paraId="12DE982F">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以进入省赛队伍数为基数，分设一、二、三等奖：一等奖占总参赛队伍数量的10%（小数点后四舍五入，下同），二等奖占总参赛队伍数量的20%，三等奖占总参赛队伍数量的30%。</w:t>
      </w:r>
    </w:p>
    <w:p w14:paraId="7049996B">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获得一等奖的指导教师为优秀指导教师。大赛设优秀组织奖，比例不超过参赛高校数的20%。</w:t>
      </w:r>
    </w:p>
    <w:p w14:paraId="748F8314">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获奖队伍均在大赛官网进行公示，公示无异议后报安徽省大学生创新创业教育办公室，并在安徽省高教网再次进行公示，无异议后，由安徽省教育厅发文公布获奖名单，颁发证书。</w:t>
      </w:r>
    </w:p>
    <w:p w14:paraId="25F55F3A">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 </w:t>
      </w:r>
      <w:r>
        <w:rPr>
          <w:rFonts w:hint="eastAsia" w:ascii="黑体" w:hAnsi="黑体" w:eastAsia="黑体" w:cs="黑体"/>
          <w:b w:val="0"/>
          <w:bCs w:val="0"/>
          <w:color w:val="000000" w:themeColor="text1"/>
          <w:kern w:val="0"/>
          <w:sz w:val="32"/>
          <w:szCs w:val="32"/>
          <w:shd w:val="clear" w:color="auto" w:fill="FFFFFF"/>
          <w:lang w:val="en-US" w:eastAsia="zh-CN" w:bidi="ar"/>
          <w14:textFill>
            <w14:solidFill>
              <w14:schemeClr w14:val="tx1"/>
            </w14:solidFill>
          </w14:textFill>
        </w:rPr>
        <w:t>八</w:t>
      </w: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、参赛须知</w:t>
      </w:r>
    </w:p>
    <w:p w14:paraId="65F8D8F9">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（一） 参赛选手须知</w:t>
      </w:r>
    </w:p>
    <w:p w14:paraId="32F0C87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1.本赛项为团队赛。参赛选手自由组队参赛，每人只能报名参加一支队伍。</w:t>
      </w:r>
    </w:p>
    <w:p w14:paraId="403E10D7">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2.参赛选手必须是参赛学校全日制正式在籍学生。各参赛院校设领队1人，负责本校代表队参赛事务的组织、协调与管理。</w:t>
      </w:r>
    </w:p>
    <w:p w14:paraId="784D3618">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参赛选手在报名获得确认后，原则上不再更换，如筹备过程中，选手因故不能参赛，参赛学校主管部门需出具书面说明并按相关参赛选手资格补充人员并接受审核；竞赛开始后，参赛队不得更换参赛选手，不允许更换指导教师。</w:t>
      </w:r>
    </w:p>
    <w:p w14:paraId="1103FD0C">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4.贯彻执行大赛各项规定，准时参加赛前领队会议，并认真传达落实会议精神，确保参赛选手准时参加各项比赛及活动。</w:t>
      </w:r>
    </w:p>
    <w:p w14:paraId="163346BE">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5.指导教师和领队在比赛时需密切留意参赛选手的比赛时间，安排充足时间进行调度，避免出现因迟到而被取消比赛资格的现象。</w:t>
      </w:r>
    </w:p>
    <w:p w14:paraId="3A40D1C3">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shd w:val="clear" w:color="auto" w:fill="FFFFFF"/>
          <w:lang w:bidi="ar"/>
          <w14:textFill>
            <w14:solidFill>
              <w14:schemeClr w14:val="tx1"/>
            </w14:solidFill>
          </w14:textFill>
        </w:rPr>
        <w:t>（二）指导教师须知</w:t>
      </w:r>
    </w:p>
    <w:p w14:paraId="33265A7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1.比赛过程中，指导教师不得现场指导，不得现场书写和传递任何资料给参赛选手。</w:t>
      </w:r>
    </w:p>
    <w:p w14:paraId="61E8412B">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2.贯彻执行大赛各项规定，竞赛期间不得私自接触裁判。</w:t>
      </w:r>
    </w:p>
    <w:p w14:paraId="442A229F">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3.指导教师一经报名、审核通过后，无特殊原因不得中途更换。</w:t>
      </w:r>
    </w:p>
    <w:p w14:paraId="1A726DF5">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4.指导教师负责赛事活动期间本队所有选手的人身及财产安全。</w:t>
      </w:r>
    </w:p>
    <w:p w14:paraId="6E17A9E3">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val="en-US" w:eastAsia="zh-CN" w:bidi="ar"/>
          <w14:textFill>
            <w14:solidFill>
              <w14:schemeClr w14:val="tx1"/>
            </w14:solidFill>
          </w14:textFill>
        </w:rPr>
        <w:t>九</w:t>
      </w: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、竞赛安全</w:t>
      </w:r>
    </w:p>
    <w:p w14:paraId="468763EF">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（一）领队责任</w:t>
      </w:r>
    </w:p>
    <w:p w14:paraId="127B780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参赛领队应对本队队员的人身和财产安全负责。各参赛学校须制定相关管理制度，并对所有学生进行安全教育，实现与赛场安全管理的对接。各参赛学校要给离开学校驻地去外地参加现场竞赛的参赛学生和指导教师集体购买保险，保证教师和学生人身安全。</w:t>
      </w:r>
    </w:p>
    <w:p w14:paraId="40AE6FEC">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（二）应急处理</w:t>
      </w:r>
    </w:p>
    <w:p w14:paraId="4811A621">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比赛期间发生意外事故，发现者应第一时间报告赛项组委会，同时采取措施避免事态扩大。赛项组委会应立即启动预案予以解决。赛项出现重大安全问题可以停赛，是否停赛由赛项组委会决定。</w:t>
      </w:r>
    </w:p>
    <w:p w14:paraId="2FE1D1FA">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b/>
          <w:bCs/>
          <w:color w:val="auto"/>
          <w:kern w:val="0"/>
          <w:sz w:val="32"/>
          <w:szCs w:val="32"/>
          <w:lang w:val="en-US" w:eastAsia="zh-CN"/>
        </w:rPr>
        <w:t>（三）处罚措施</w:t>
      </w:r>
    </w:p>
    <w:p w14:paraId="20848588">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如果出现违反竞赛规程的行为，由仲裁委员会决定是否取消参赛资格。</w:t>
      </w:r>
    </w:p>
    <w:p w14:paraId="5FE286A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shd w:val="clear" w:color="auto" w:fill="FFFFFF"/>
          <w:lang w:val="en-US" w:eastAsia="zh-CN" w:bidi="ar"/>
          <w14:textFill>
            <w14:solidFill>
              <w14:schemeClr w14:val="tx1"/>
            </w14:solidFill>
          </w14:textFill>
        </w:rPr>
        <w:t>十</w:t>
      </w:r>
      <w:r>
        <w:rPr>
          <w:rFonts w:hint="eastAsia" w:ascii="黑体" w:hAnsi="黑体" w:eastAsia="黑体" w:cs="黑体"/>
          <w:b w:val="0"/>
          <w:bCs w:val="0"/>
          <w:color w:val="000000" w:themeColor="text1"/>
          <w:kern w:val="0"/>
          <w:sz w:val="32"/>
          <w:szCs w:val="32"/>
          <w:shd w:val="clear" w:color="auto" w:fill="FFFFFF"/>
          <w:lang w:bidi="ar"/>
          <w14:textFill>
            <w14:solidFill>
              <w14:schemeClr w14:val="tx1"/>
            </w14:solidFill>
          </w14:textFill>
        </w:rPr>
        <w:t>、申诉与仲裁</w:t>
      </w:r>
    </w:p>
    <w:p w14:paraId="6EF330B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参赛团队在比赛过程中遇到的问题应通过学校领队向大赛秘书处反馈，大赛秘书处与学校领队进行沟通。</w:t>
      </w:r>
    </w:p>
    <w:p w14:paraId="746481CB">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（一）申诉</w:t>
      </w:r>
    </w:p>
    <w:p w14:paraId="61B8F2D4">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1.本赛项在比赛过程中若出现有失公正或有关人员违规等现象，申诉应在比赛结束后</w:t>
      </w:r>
      <w:r>
        <w:rPr>
          <w:rFonts w:hint="default" w:ascii="仿宋" w:hAnsi="仿宋" w:eastAsia="仿宋" w:cs="仿宋"/>
          <w:color w:val="auto"/>
          <w:kern w:val="0"/>
          <w:sz w:val="32"/>
          <w:szCs w:val="32"/>
          <w:lang w:val="en-US" w:eastAsia="zh-CN"/>
        </w:rPr>
        <w:t>48</w:t>
      </w:r>
      <w:r>
        <w:rPr>
          <w:rFonts w:hint="default" w:ascii="仿宋" w:hAnsi="仿宋" w:eastAsia="仿宋" w:cs="仿宋"/>
          <w:color w:val="auto"/>
          <w:kern w:val="0"/>
          <w:sz w:val="32"/>
          <w:szCs w:val="32"/>
        </w:rPr>
        <w:t>小时内</w:t>
      </w:r>
      <w:r>
        <w:rPr>
          <w:rFonts w:hint="eastAsia" w:ascii="仿宋" w:hAnsi="仿宋" w:eastAsia="仿宋" w:cs="仿宋"/>
          <w:color w:val="auto"/>
          <w:kern w:val="0"/>
          <w:sz w:val="32"/>
          <w:szCs w:val="32"/>
        </w:rPr>
        <w:t>内提出，超过时效将不予受理。</w:t>
      </w:r>
    </w:p>
    <w:p w14:paraId="22BC5072">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申诉时，应向大赛组委会仲裁委员会递交书面申诉报告。申诉报告应对申诉依据与理由等进行充分、实事求是的阐述并提供相应证据。参赛队不得因提起申诉或对申诉处理意见不服而停止比赛或滋事，否则按弃权处理。比赛不因申诉事件而组织重赛。</w:t>
      </w:r>
    </w:p>
    <w:p w14:paraId="2C080ED7">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3.申诉报告须有参赛选手和指导教师的签名。</w:t>
      </w:r>
    </w:p>
    <w:p w14:paraId="3993A41E">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（二）仲裁</w:t>
      </w:r>
    </w:p>
    <w:p w14:paraId="2E66BE49">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w:t>
      </w:r>
      <w:r>
        <w:rPr>
          <w:rFonts w:hint="default" w:ascii="仿宋" w:hAnsi="仿宋" w:eastAsia="仿宋" w:cs="仿宋"/>
          <w:color w:val="auto"/>
          <w:kern w:val="0"/>
          <w:sz w:val="32"/>
          <w:szCs w:val="32"/>
        </w:rPr>
        <w:t>赛项仲裁工作组在接到申诉后的</w:t>
      </w:r>
      <w:r>
        <w:rPr>
          <w:rFonts w:hint="default" w:ascii="仿宋" w:hAnsi="仿宋" w:eastAsia="仿宋" w:cs="仿宋"/>
          <w:color w:val="auto"/>
          <w:kern w:val="0"/>
          <w:sz w:val="32"/>
          <w:szCs w:val="32"/>
          <w:lang w:val="en-US" w:eastAsia="zh-CN"/>
        </w:rPr>
        <w:t>24</w:t>
      </w:r>
      <w:r>
        <w:rPr>
          <w:rFonts w:hint="default" w:ascii="仿宋" w:hAnsi="仿宋" w:eastAsia="仿宋" w:cs="仿宋"/>
          <w:color w:val="auto"/>
          <w:kern w:val="0"/>
          <w:sz w:val="32"/>
          <w:szCs w:val="32"/>
        </w:rPr>
        <w:t>小时内组织复议，并及时反馈复议结果。</w:t>
      </w:r>
    </w:p>
    <w:p w14:paraId="7260FAB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2.申诉人不得无故拒不接受处理结果，不允许采取过激行为刁难工作人员，否则视为放弃申诉。</w:t>
      </w:r>
    </w:p>
    <w:p w14:paraId="509F62E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pPr>
      <w:r>
        <w:rPr>
          <w:rFonts w:hint="eastAsia" w:ascii="仿宋" w:hAnsi="仿宋" w:eastAsia="仿宋" w:cs="仿宋"/>
          <w:color w:val="auto"/>
          <w:kern w:val="0"/>
          <w:sz w:val="32"/>
          <w:szCs w:val="32"/>
        </w:rPr>
        <w:t>3.仲裁委员会的仲裁结果为最终结果。</w:t>
      </w:r>
    </w:p>
    <w:p w14:paraId="4F990DC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b w:val="0"/>
          <w:bCs w:val="0"/>
          <w:sz w:val="32"/>
          <w:szCs w:val="32"/>
        </w:rPr>
      </w:pPr>
      <w:r>
        <w:rPr>
          <w:rFonts w:hint="eastAsia" w:ascii="黑体" w:hAnsi="黑体" w:eastAsia="黑体" w:cs="黑体"/>
          <w:b w:val="0"/>
          <w:bCs w:val="0"/>
          <w:sz w:val="32"/>
          <w:szCs w:val="32"/>
        </w:rPr>
        <w:t>十</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、竞赛宣传</w:t>
      </w:r>
    </w:p>
    <w:p w14:paraId="2C6CA23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大赛相关信息由大赛官网及安徽省高教处统一对外发布。赛事组委会负责本次比赛的宣传工作，通过</w:t>
      </w:r>
      <w:r>
        <w:rPr>
          <w:rFonts w:hint="eastAsia" w:ascii="仿宋" w:hAnsi="仿宋" w:eastAsia="仿宋" w:cs="仿宋"/>
          <w:sz w:val="32"/>
          <w:szCs w:val="32"/>
          <w:shd w:val="clear" w:color="auto" w:fill="FFFFFF"/>
          <w:lang w:val="en-US" w:eastAsia="zh-CN"/>
        </w:rPr>
        <w:t>大赛官网</w:t>
      </w:r>
      <w:r>
        <w:rPr>
          <w:rFonts w:hint="eastAsia" w:ascii="仿宋" w:hAnsi="仿宋" w:eastAsia="仿宋" w:cs="仿宋"/>
          <w:sz w:val="32"/>
          <w:szCs w:val="32"/>
          <w:shd w:val="clear" w:color="auto" w:fill="FFFFFF"/>
        </w:rPr>
        <w:t>、安徽财经大学校园网</w:t>
      </w:r>
      <w:r>
        <w:rPr>
          <w:rFonts w:hint="eastAsia" w:ascii="仿宋" w:hAnsi="仿宋" w:eastAsia="仿宋" w:cs="仿宋"/>
          <w:sz w:val="32"/>
          <w:szCs w:val="32"/>
          <w:shd w:val="clear" w:color="auto" w:fill="FFFFFF"/>
          <w:lang w:val="en-US" w:eastAsia="zh-CN"/>
        </w:rPr>
        <w:t>等</w:t>
      </w:r>
      <w:r>
        <w:rPr>
          <w:rFonts w:hint="eastAsia" w:ascii="仿宋" w:hAnsi="仿宋" w:eastAsia="仿宋" w:cs="仿宋"/>
          <w:sz w:val="32"/>
          <w:szCs w:val="32"/>
          <w:shd w:val="clear" w:color="auto" w:fill="FFFFFF"/>
        </w:rPr>
        <w:t>开展宣传。</w:t>
      </w:r>
    </w:p>
    <w:p w14:paraId="77BDD9A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bCs/>
          <w:color w:val="000000" w:themeColor="text1"/>
          <w:kern w:val="0"/>
          <w:sz w:val="32"/>
          <w:szCs w:val="32"/>
          <w:shd w:val="clear" w:color="auto" w:fill="FFFFFF"/>
          <w:lang w:bidi="ar"/>
          <w14:textFill>
            <w14:solidFill>
              <w14:schemeClr w14:val="tx1"/>
            </w14:solidFill>
          </w14:textFill>
        </w:rPr>
        <w:t>十</w:t>
      </w:r>
      <w:r>
        <w:rPr>
          <w:rFonts w:hint="eastAsia" w:ascii="黑体" w:hAnsi="黑体" w:eastAsia="黑体" w:cs="黑体"/>
          <w:b/>
          <w:bCs/>
          <w:color w:val="000000" w:themeColor="text1"/>
          <w:kern w:val="0"/>
          <w:sz w:val="32"/>
          <w:szCs w:val="32"/>
          <w:shd w:val="clear" w:color="auto" w:fill="FFFFFF"/>
          <w:lang w:val="en-US" w:eastAsia="zh-CN" w:bidi="ar"/>
          <w14:textFill>
            <w14:solidFill>
              <w14:schemeClr w14:val="tx1"/>
            </w14:solidFill>
          </w14:textFill>
        </w:rPr>
        <w:t>二</w:t>
      </w:r>
      <w:r>
        <w:rPr>
          <w:rFonts w:hint="eastAsia" w:ascii="黑体" w:hAnsi="黑体" w:eastAsia="黑体" w:cs="黑体"/>
          <w:b/>
          <w:bCs/>
          <w:color w:val="000000" w:themeColor="text1"/>
          <w:kern w:val="0"/>
          <w:sz w:val="32"/>
          <w:szCs w:val="32"/>
          <w:shd w:val="clear" w:color="auto" w:fill="FFFFFF"/>
          <w:lang w:bidi="ar"/>
          <w14:textFill>
            <w14:solidFill>
              <w14:schemeClr w14:val="tx1"/>
            </w14:solidFill>
          </w14:textFill>
        </w:rPr>
        <w:t>、联系方式</w:t>
      </w:r>
    </w:p>
    <w:p w14:paraId="121F518B">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大赛</w:t>
      </w:r>
      <w:r>
        <w:rPr>
          <w:rFonts w:hint="eastAsia" w:ascii="仿宋" w:hAnsi="仿宋" w:eastAsia="仿宋" w:cs="仿宋"/>
          <w:color w:val="auto"/>
          <w:kern w:val="0"/>
          <w:sz w:val="32"/>
          <w:szCs w:val="32"/>
          <w:lang w:val="en-US" w:eastAsia="zh-CN"/>
        </w:rPr>
        <w:t>的</w:t>
      </w:r>
      <w:r>
        <w:rPr>
          <w:rFonts w:hint="eastAsia" w:ascii="仿宋" w:hAnsi="仿宋" w:eastAsia="仿宋" w:cs="仿宋"/>
          <w:color w:val="auto"/>
          <w:kern w:val="0"/>
          <w:sz w:val="32"/>
          <w:szCs w:val="32"/>
        </w:rPr>
        <w:t>相关内容以及其他竞赛技术文件，请登陆大赛官方网站进行查看。本通知及大赛期间相关事宜由秘书处负责解释。未尽事宜，可与大赛秘书处联系。</w:t>
      </w:r>
    </w:p>
    <w:p w14:paraId="76761A8C">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大赛官网：</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"http://www.ahcsds.cn/" </w:instrText>
      </w:r>
      <w:r>
        <w:rPr>
          <w:rFonts w:hint="eastAsia" w:ascii="仿宋" w:hAnsi="仿宋" w:eastAsia="仿宋" w:cs="仿宋"/>
          <w:sz w:val="32"/>
          <w:szCs w:val="32"/>
        </w:rPr>
        <w:fldChar w:fldCharType="separate"/>
      </w:r>
      <w:r>
        <w:rPr>
          <w:rStyle w:val="8"/>
          <w:rFonts w:hint="eastAsia" w:ascii="仿宋" w:hAnsi="仿宋" w:eastAsia="仿宋" w:cs="仿宋"/>
          <w:color w:val="000000" w:themeColor="text1"/>
          <w:sz w:val="32"/>
          <w:szCs w:val="32"/>
          <w:u w:val="none"/>
          <w:shd w:val="clear" w:color="auto" w:fill="FFFFFF"/>
          <w14:textFill>
            <w14:solidFill>
              <w14:schemeClr w14:val="tx1"/>
            </w14:solidFill>
          </w14:textFill>
        </w:rPr>
        <w:t>www.ahcsds.cn</w:t>
      </w:r>
      <w:r>
        <w:rPr>
          <w:rStyle w:val="8"/>
          <w:rFonts w:hint="eastAsia" w:ascii="仿宋" w:hAnsi="仿宋" w:eastAsia="仿宋" w:cs="仿宋"/>
          <w:color w:val="000000" w:themeColor="text1"/>
          <w:sz w:val="32"/>
          <w:szCs w:val="32"/>
          <w:u w:val="none"/>
          <w:shd w:val="clear" w:color="auto" w:fill="FFFFFF"/>
          <w14:textFill>
            <w14:solidFill>
              <w14:schemeClr w14:val="tx1"/>
            </w14:solidFill>
          </w14:textFill>
        </w:rPr>
        <w:fldChar w:fldCharType="end"/>
      </w:r>
    </w:p>
    <w:p w14:paraId="7377A6ED">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联系人：</w:t>
      </w:r>
      <w:r>
        <w:rPr>
          <w:rFonts w:hint="eastAsia" w:ascii="仿宋" w:hAnsi="仿宋" w:eastAsia="仿宋" w:cs="仿宋"/>
          <w:color w:val="000000" w:themeColor="text1"/>
          <w:kern w:val="0"/>
          <w:sz w:val="32"/>
          <w:szCs w:val="32"/>
          <w:shd w:val="clear" w:color="auto" w:fill="FFFFFF"/>
          <w:lang w:val="en-US" w:eastAsia="zh-CN" w:bidi="ar"/>
          <w14:textFill>
            <w14:solidFill>
              <w14:schemeClr w14:val="tx1"/>
            </w14:solidFill>
          </w14:textFill>
        </w:rPr>
        <w:t>贺晓宇</w:t>
      </w:r>
    </w:p>
    <w:p w14:paraId="19861AC6">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firstLine="56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联系电话： 0552-3175802</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289745-42B0-4C30-A837-1A63929567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E3468DDA-D2D4-496A-B49A-74DD7EBD9798}"/>
  </w:font>
  <w:font w:name="方正黑体_GBK">
    <w:panose1 w:val="02010600010101010101"/>
    <w:charset w:val="86"/>
    <w:family w:val="auto"/>
    <w:pitch w:val="default"/>
    <w:sig w:usb0="00000001" w:usb1="080E0000" w:usb2="00000000" w:usb3="00000000" w:csb0="00040000" w:csb1="00000000"/>
    <w:embedRegular r:id="rId3" w:fontKey="{4C8B975A-FBD1-4FBD-A7C5-F67D815381BA}"/>
  </w:font>
  <w:font w:name="方正小标宋_GBK">
    <w:panose1 w:val="02000000000000000000"/>
    <w:charset w:val="86"/>
    <w:family w:val="auto"/>
    <w:pitch w:val="default"/>
    <w:sig w:usb0="A00002BF" w:usb1="38CF7CFA" w:usb2="00082016" w:usb3="00000000" w:csb0="00040001" w:csb1="00000000"/>
    <w:embedRegular r:id="rId4" w:fontKey="{D16F1983-D08F-4AC1-8773-53F250449806}"/>
  </w:font>
  <w:font w:name="仿宋_GB2312">
    <w:panose1 w:val="02010609030101010101"/>
    <w:charset w:val="86"/>
    <w:family w:val="modern"/>
    <w:pitch w:val="default"/>
    <w:sig w:usb0="00000001" w:usb1="080E0000" w:usb2="00000000" w:usb3="00000000" w:csb0="00040000" w:csb1="00000000"/>
    <w:embedRegular r:id="rId5" w:fontKey="{8F66D45F-B53A-4AE7-82F6-ECD74347C247}"/>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452"/>
    <w:rsid w:val="001938DF"/>
    <w:rsid w:val="001A2452"/>
    <w:rsid w:val="0065411D"/>
    <w:rsid w:val="00E628FA"/>
    <w:rsid w:val="010827C0"/>
    <w:rsid w:val="01DB40E7"/>
    <w:rsid w:val="029A6A52"/>
    <w:rsid w:val="02B27EDC"/>
    <w:rsid w:val="03546A67"/>
    <w:rsid w:val="045126D0"/>
    <w:rsid w:val="0451611F"/>
    <w:rsid w:val="049E03BB"/>
    <w:rsid w:val="05412F41"/>
    <w:rsid w:val="057318CC"/>
    <w:rsid w:val="060D1559"/>
    <w:rsid w:val="07373DFF"/>
    <w:rsid w:val="085F69CC"/>
    <w:rsid w:val="086069C7"/>
    <w:rsid w:val="08BC0A60"/>
    <w:rsid w:val="09095327"/>
    <w:rsid w:val="095D5673"/>
    <w:rsid w:val="09623EF2"/>
    <w:rsid w:val="0A0C55AF"/>
    <w:rsid w:val="0A270BAF"/>
    <w:rsid w:val="0A3B59B5"/>
    <w:rsid w:val="0A544CC8"/>
    <w:rsid w:val="0A9D2E37"/>
    <w:rsid w:val="0B2C354F"/>
    <w:rsid w:val="0B61769D"/>
    <w:rsid w:val="0CAE5C1B"/>
    <w:rsid w:val="0D556D8D"/>
    <w:rsid w:val="0E8D668B"/>
    <w:rsid w:val="0F73108C"/>
    <w:rsid w:val="10B001B9"/>
    <w:rsid w:val="112847B9"/>
    <w:rsid w:val="129D72B4"/>
    <w:rsid w:val="12BD714C"/>
    <w:rsid w:val="12C43900"/>
    <w:rsid w:val="12F31522"/>
    <w:rsid w:val="130B70C3"/>
    <w:rsid w:val="142A66A9"/>
    <w:rsid w:val="14741FDD"/>
    <w:rsid w:val="14A077BA"/>
    <w:rsid w:val="14EB02D6"/>
    <w:rsid w:val="150E78EE"/>
    <w:rsid w:val="15A82CC3"/>
    <w:rsid w:val="166F3242"/>
    <w:rsid w:val="18CF62D0"/>
    <w:rsid w:val="18D019BE"/>
    <w:rsid w:val="19924EC5"/>
    <w:rsid w:val="1A277D03"/>
    <w:rsid w:val="1AC57156"/>
    <w:rsid w:val="1C5F78F0"/>
    <w:rsid w:val="1CA4441E"/>
    <w:rsid w:val="1D7F002D"/>
    <w:rsid w:val="1E0069F0"/>
    <w:rsid w:val="1E2E7895"/>
    <w:rsid w:val="1F3F2964"/>
    <w:rsid w:val="1F576995"/>
    <w:rsid w:val="20875058"/>
    <w:rsid w:val="208C7728"/>
    <w:rsid w:val="20D71D3C"/>
    <w:rsid w:val="210466A8"/>
    <w:rsid w:val="2130749E"/>
    <w:rsid w:val="22AA7723"/>
    <w:rsid w:val="236C0269"/>
    <w:rsid w:val="240E7983"/>
    <w:rsid w:val="24661428"/>
    <w:rsid w:val="2493239E"/>
    <w:rsid w:val="25EB7E37"/>
    <w:rsid w:val="26A11396"/>
    <w:rsid w:val="26CD17E5"/>
    <w:rsid w:val="27035303"/>
    <w:rsid w:val="28153891"/>
    <w:rsid w:val="283D4410"/>
    <w:rsid w:val="28A23CA6"/>
    <w:rsid w:val="293E04E9"/>
    <w:rsid w:val="2A5D4FDC"/>
    <w:rsid w:val="2B7B2157"/>
    <w:rsid w:val="2C872749"/>
    <w:rsid w:val="2CBE62A5"/>
    <w:rsid w:val="2DD92798"/>
    <w:rsid w:val="2E2E1209"/>
    <w:rsid w:val="2E782484"/>
    <w:rsid w:val="2F1D5571"/>
    <w:rsid w:val="30111503"/>
    <w:rsid w:val="307320D9"/>
    <w:rsid w:val="316945CB"/>
    <w:rsid w:val="32E4633A"/>
    <w:rsid w:val="344175CA"/>
    <w:rsid w:val="34A75871"/>
    <w:rsid w:val="35912366"/>
    <w:rsid w:val="362058DB"/>
    <w:rsid w:val="36A24542"/>
    <w:rsid w:val="36BB171C"/>
    <w:rsid w:val="37130486"/>
    <w:rsid w:val="37661A13"/>
    <w:rsid w:val="37991DE9"/>
    <w:rsid w:val="37D512A4"/>
    <w:rsid w:val="37FE6D79"/>
    <w:rsid w:val="384A7564"/>
    <w:rsid w:val="390D04A7"/>
    <w:rsid w:val="39113013"/>
    <w:rsid w:val="39161217"/>
    <w:rsid w:val="39DE39D8"/>
    <w:rsid w:val="3A6B3EBF"/>
    <w:rsid w:val="3A8A479D"/>
    <w:rsid w:val="3ACA6EEF"/>
    <w:rsid w:val="3B000686"/>
    <w:rsid w:val="3B0667AB"/>
    <w:rsid w:val="3B0D3185"/>
    <w:rsid w:val="3BB817B4"/>
    <w:rsid w:val="3C440EBE"/>
    <w:rsid w:val="3D290A17"/>
    <w:rsid w:val="3D396DF1"/>
    <w:rsid w:val="3DAF1FFC"/>
    <w:rsid w:val="3EC32AF6"/>
    <w:rsid w:val="3F976168"/>
    <w:rsid w:val="40F25393"/>
    <w:rsid w:val="410737B7"/>
    <w:rsid w:val="41B847B0"/>
    <w:rsid w:val="41D657E1"/>
    <w:rsid w:val="420D4C7F"/>
    <w:rsid w:val="42766394"/>
    <w:rsid w:val="428A37DB"/>
    <w:rsid w:val="436832A5"/>
    <w:rsid w:val="43AF6AFE"/>
    <w:rsid w:val="443513FE"/>
    <w:rsid w:val="44A678F3"/>
    <w:rsid w:val="45AD69D0"/>
    <w:rsid w:val="46C73C2B"/>
    <w:rsid w:val="484D2DDA"/>
    <w:rsid w:val="48C51A38"/>
    <w:rsid w:val="49064F7E"/>
    <w:rsid w:val="494A71CD"/>
    <w:rsid w:val="498F1CBC"/>
    <w:rsid w:val="49AF0FF8"/>
    <w:rsid w:val="4A3316C9"/>
    <w:rsid w:val="4AC30BA7"/>
    <w:rsid w:val="4B2205A9"/>
    <w:rsid w:val="4B47275F"/>
    <w:rsid w:val="4B5A07E8"/>
    <w:rsid w:val="4BE331DB"/>
    <w:rsid w:val="4BFB6776"/>
    <w:rsid w:val="4C7107E7"/>
    <w:rsid w:val="4DC81D4A"/>
    <w:rsid w:val="4DF65E9C"/>
    <w:rsid w:val="4E1835F8"/>
    <w:rsid w:val="4E2E6A7C"/>
    <w:rsid w:val="4E2F0959"/>
    <w:rsid w:val="50F934A0"/>
    <w:rsid w:val="51183927"/>
    <w:rsid w:val="512E32F9"/>
    <w:rsid w:val="51DA6B07"/>
    <w:rsid w:val="5309314A"/>
    <w:rsid w:val="53F72C19"/>
    <w:rsid w:val="547C5564"/>
    <w:rsid w:val="54F63F7F"/>
    <w:rsid w:val="56AD4B11"/>
    <w:rsid w:val="56C4496D"/>
    <w:rsid w:val="57A23F4A"/>
    <w:rsid w:val="58C62A38"/>
    <w:rsid w:val="595C0BB6"/>
    <w:rsid w:val="59D66B12"/>
    <w:rsid w:val="5BB16E51"/>
    <w:rsid w:val="5BC5784A"/>
    <w:rsid w:val="5BEE2DDF"/>
    <w:rsid w:val="5C416B95"/>
    <w:rsid w:val="5E4F7188"/>
    <w:rsid w:val="5E53134F"/>
    <w:rsid w:val="5EDC5070"/>
    <w:rsid w:val="5F0C470D"/>
    <w:rsid w:val="5F171C29"/>
    <w:rsid w:val="5F8231AB"/>
    <w:rsid w:val="60077BAA"/>
    <w:rsid w:val="60E23609"/>
    <w:rsid w:val="61047A23"/>
    <w:rsid w:val="617D7D58"/>
    <w:rsid w:val="622837D1"/>
    <w:rsid w:val="630070E0"/>
    <w:rsid w:val="637454D5"/>
    <w:rsid w:val="639037DF"/>
    <w:rsid w:val="63F57534"/>
    <w:rsid w:val="641A130C"/>
    <w:rsid w:val="657E0A92"/>
    <w:rsid w:val="673A1B85"/>
    <w:rsid w:val="69E25B37"/>
    <w:rsid w:val="6BB838E4"/>
    <w:rsid w:val="6D7917A7"/>
    <w:rsid w:val="6DFF1C9E"/>
    <w:rsid w:val="6E396833"/>
    <w:rsid w:val="6E667183"/>
    <w:rsid w:val="6F1F1859"/>
    <w:rsid w:val="705D5C2F"/>
    <w:rsid w:val="72DF3E4C"/>
    <w:rsid w:val="72E651DB"/>
    <w:rsid w:val="7338355D"/>
    <w:rsid w:val="736D71A4"/>
    <w:rsid w:val="7474699E"/>
    <w:rsid w:val="74E03DD3"/>
    <w:rsid w:val="75197698"/>
    <w:rsid w:val="76831816"/>
    <w:rsid w:val="76DB0EB8"/>
    <w:rsid w:val="7769462C"/>
    <w:rsid w:val="78266A72"/>
    <w:rsid w:val="7884171F"/>
    <w:rsid w:val="7ABC6888"/>
    <w:rsid w:val="7C24286A"/>
    <w:rsid w:val="7C3C4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16"/>
      <w:szCs w:val="16"/>
      <w:lang w:val="en-US" w:eastAsia="en-US" w:bidi="ar-SA"/>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character" w:customStyle="1" w:styleId="9">
    <w:name w:val="标题 1 Char"/>
    <w:basedOn w:val="7"/>
    <w:link w:val="2"/>
    <w:qFormat/>
    <w:uiPriority w:val="9"/>
    <w:rPr>
      <w:rFonts w:ascii="宋体" w:hAnsi="宋体" w:eastAsia="宋体" w:cs="宋体"/>
      <w:b/>
      <w:bCs/>
      <w:kern w:val="36"/>
      <w:sz w:val="48"/>
      <w:szCs w:val="48"/>
    </w:rPr>
  </w:style>
  <w:style w:type="character" w:customStyle="1" w:styleId="10">
    <w:name w:val="j-info-hit"/>
    <w:basedOn w:val="7"/>
    <w:qFormat/>
    <w:uiPriority w:val="0"/>
  </w:style>
  <w:style w:type="character" w:customStyle="1" w:styleId="11">
    <w:name w:val="font"/>
    <w:basedOn w:val="7"/>
    <w:qFormat/>
    <w:uiPriority w:val="0"/>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14"/>
      <w:szCs w:val="14"/>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2808</Words>
  <Characters>3025</Characters>
  <Lines>41</Lines>
  <Paragraphs>11</Paragraphs>
  <TotalTime>20</TotalTime>
  <ScaleCrop>false</ScaleCrop>
  <LinksUpToDate>false</LinksUpToDate>
  <CharactersWithSpaces>3041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2025-07-21T01:56:00Z</dcterms:created>
  <dc:creator>董桂才</dc:creator>
  <cp:lastModifiedBy>Nesta</cp:lastModifiedBy>
  <dcterms:modified xsi:type="dcterms:W3CDTF">2026-10-08T01:21:35Z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CDED1956F1014BACA59EE5B5A95899FB_13</vt:lpwstr>
  </property>
  <property fmtid="{D5CDD505-2E9C-101B-9397-08002B2CF9AE}" pid="4" name="KSOTemplateDocerSaveRecord">
    <vt:lpwstr>eyJoZGlkIjoiOWI0YjdjYzZiODc3NmI2MjVjOGFmOTJhMDE0MTEyZDgiLCJ1c2VySWQiOiIyMzIxNzI0NDEifQ==</vt:lpwstr>
  </property>
</Properties>
</file>