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kern w:val="0"/>
          <w:sz w:val="44"/>
          <w:szCs w:val="44"/>
          <w:shd w:val="clear" w:color="auto" w:fill="FFFFFF"/>
          <w:lang w:val="en-US" w:eastAsia="zh-CN" w:bidi="ar-SA"/>
        </w:rPr>
      </w:pPr>
      <w:bookmarkStart w:id="0" w:name="_GoBack"/>
      <w:bookmarkEnd w:id="0"/>
      <w:r>
        <w:rPr>
          <w:rFonts w:hint="eastAsia" w:ascii="方正小标宋简体" w:hAnsi="方正小标宋简体" w:eastAsia="方正小标宋简体" w:cs="方正小标宋简体"/>
          <w:color w:val="auto"/>
          <w:kern w:val="0"/>
          <w:sz w:val="44"/>
          <w:szCs w:val="44"/>
          <w:shd w:val="clear" w:color="auto" w:fill="FFFFFF"/>
          <w:lang w:val="en-US" w:eastAsia="zh-CN" w:bidi="ar-SA"/>
        </w:rPr>
        <w:t>2026年安徽省大学生智慧财税创新大赛</w:t>
      </w:r>
    </w:p>
    <w:p>
      <w:pPr>
        <w:keepNext w:val="0"/>
        <w:keepLines w:val="0"/>
        <w:pageBreakBefore w:val="0"/>
        <w:widowControl/>
        <w:shd w:val="clear" w:color="auto" w:fill="FFFFFF"/>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kern w:val="0"/>
          <w:sz w:val="44"/>
          <w:szCs w:val="44"/>
          <w:shd w:val="clear" w:color="auto" w:fill="FFFFFF"/>
          <w:lang w:val="en-US" w:eastAsia="zh-CN" w:bidi="ar-SA"/>
        </w:rPr>
      </w:pPr>
      <w:r>
        <w:rPr>
          <w:rFonts w:hint="eastAsia" w:ascii="方正小标宋简体" w:hAnsi="方正小标宋简体" w:eastAsia="方正小标宋简体" w:cs="方正小标宋简体"/>
          <w:color w:val="auto"/>
          <w:kern w:val="0"/>
          <w:sz w:val="44"/>
          <w:szCs w:val="44"/>
          <w:shd w:val="clear" w:color="auto" w:fill="FFFFFF"/>
          <w:lang w:val="en-US" w:eastAsia="zh-CN" w:bidi="ar-SA"/>
        </w:rPr>
        <w:t>竞赛内容和要求</w:t>
      </w:r>
    </w:p>
    <w:p>
      <w:pPr>
        <w:keepNext w:val="0"/>
        <w:keepLines w:val="0"/>
        <w:pageBreakBefore w:val="0"/>
        <w:widowControl/>
        <w:shd w:val="clear" w:color="auto" w:fill="FFFFFF"/>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auto"/>
          <w:kern w:val="0"/>
          <w:sz w:val="44"/>
          <w:szCs w:val="44"/>
          <w:shd w:val="clear" w:color="auto" w:fill="FFFFFF"/>
          <w:lang w:val="en-US" w:eastAsia="zh-CN" w:bidi="ar-SA"/>
        </w:rPr>
      </w:pPr>
    </w:p>
    <w:p>
      <w:pPr>
        <w:widowControl/>
        <w:numPr>
          <w:ilvl w:val="0"/>
          <w:numId w:val="1"/>
        </w:numPr>
        <w:shd w:val="clear" w:color="auto" w:fill="FFFFFF"/>
        <w:ind w:firstLine="560" w:firstLineChars="0"/>
        <w:rPr>
          <w:rFonts w:hint="eastAsia" w:ascii="Times New Roman" w:hAnsi="Times New Roman" w:eastAsia="方正黑体_GBK" w:cs="Times New Roman"/>
          <w:b w:val="0"/>
          <w:bCs w:val="0"/>
          <w:color w:val="auto"/>
          <w:kern w:val="0"/>
          <w:sz w:val="32"/>
          <w:szCs w:val="32"/>
          <w:shd w:val="clear" w:color="auto" w:fill="FFFFFF"/>
          <w:lang w:val="en-US" w:eastAsia="zh-CN" w:bidi="ar-SA"/>
        </w:rPr>
      </w:pPr>
      <w:r>
        <w:rPr>
          <w:rFonts w:hint="eastAsia" w:ascii="Times New Roman" w:hAnsi="Times New Roman" w:eastAsia="方正黑体_GBK" w:cs="Times New Roman"/>
          <w:b w:val="0"/>
          <w:bCs w:val="0"/>
          <w:color w:val="auto"/>
          <w:kern w:val="0"/>
          <w:sz w:val="32"/>
          <w:szCs w:val="32"/>
          <w:shd w:val="clear" w:color="auto" w:fill="FFFFFF"/>
          <w:lang w:val="en-US" w:eastAsia="zh-CN" w:bidi="ar-SA"/>
        </w:rPr>
        <w:t>决赛大数据业财处理竞赛环节</w:t>
      </w:r>
    </w:p>
    <w:tbl>
      <w:tblPr>
        <w:tblStyle w:val="4"/>
        <w:tblW w:w="88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440"/>
        <w:gridCol w:w="2246"/>
        <w:gridCol w:w="2754"/>
        <w:gridCol w:w="1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841"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序号</w:t>
            </w:r>
          </w:p>
        </w:tc>
        <w:tc>
          <w:tcPr>
            <w:tcW w:w="1440"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竞赛内容</w:t>
            </w:r>
          </w:p>
        </w:tc>
        <w:tc>
          <w:tcPr>
            <w:tcW w:w="2246"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技术标准</w:t>
            </w:r>
          </w:p>
        </w:tc>
        <w:tc>
          <w:tcPr>
            <w:tcW w:w="2754"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评分规则</w:t>
            </w:r>
          </w:p>
        </w:tc>
        <w:tc>
          <w:tcPr>
            <w:tcW w:w="1541"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参考分值比重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noWrap w:val="0"/>
            <w:vAlign w:val="center"/>
          </w:tcPr>
          <w:p>
            <w:pPr>
              <w:widowControl/>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rPr>
              <w:t>（1）</w:t>
            </w:r>
          </w:p>
        </w:tc>
        <w:tc>
          <w:tcPr>
            <w:tcW w:w="1440"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财务报表编制</w:t>
            </w:r>
          </w:p>
        </w:tc>
        <w:tc>
          <w:tcPr>
            <w:tcW w:w="2246"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使用Python编制资产负债表、现金流量表，符合会计报表编制规则</w:t>
            </w:r>
          </w:p>
        </w:tc>
        <w:tc>
          <w:tcPr>
            <w:tcW w:w="2754"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根据代码运行出错率及生成的数据评分。</w:t>
            </w:r>
          </w:p>
        </w:tc>
        <w:tc>
          <w:tcPr>
            <w:tcW w:w="1541" w:type="dxa"/>
            <w:noWrap w:val="0"/>
            <w:vAlign w:val="center"/>
          </w:tcPr>
          <w:p>
            <w:pPr>
              <w:widowControl/>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noWrap w:val="0"/>
            <w:vAlign w:val="center"/>
          </w:tcPr>
          <w:p>
            <w:pPr>
              <w:widowControl/>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rPr>
              <w:t>（2）</w:t>
            </w:r>
          </w:p>
        </w:tc>
        <w:tc>
          <w:tcPr>
            <w:tcW w:w="1440"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主要财务指标分析</w:t>
            </w:r>
          </w:p>
        </w:tc>
        <w:tc>
          <w:tcPr>
            <w:tcW w:w="2246"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运用Python进行财务指标分析，遵循财务分析规则</w:t>
            </w:r>
          </w:p>
        </w:tc>
        <w:tc>
          <w:tcPr>
            <w:tcW w:w="2754"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根据代码运行出错率及生成的数据评分</w:t>
            </w:r>
          </w:p>
        </w:tc>
        <w:tc>
          <w:tcPr>
            <w:tcW w:w="1541" w:type="dxa"/>
            <w:noWrap w:val="0"/>
            <w:vAlign w:val="center"/>
          </w:tcPr>
          <w:p>
            <w:pPr>
              <w:widowControl/>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noWrap w:val="0"/>
            <w:vAlign w:val="center"/>
          </w:tcPr>
          <w:p>
            <w:pPr>
              <w:widowControl/>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rPr>
              <w:t>（3）</w:t>
            </w:r>
          </w:p>
        </w:tc>
        <w:tc>
          <w:tcPr>
            <w:tcW w:w="1440"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内部经营数据分析及可视化</w:t>
            </w:r>
          </w:p>
        </w:tc>
        <w:tc>
          <w:tcPr>
            <w:tcW w:w="2246" w:type="dxa"/>
            <w:noWrap w:val="0"/>
            <w:vAlign w:val="center"/>
          </w:tcPr>
          <w:p>
            <w:pPr>
              <w:widowControl/>
              <w:ind w:firstLine="0" w:firstLineChars="0"/>
              <w:jc w:val="left"/>
              <w:rPr>
                <w:rFonts w:hint="default" w:ascii="仿宋" w:hAnsi="仿宋" w:eastAsia="仿宋" w:cs="仿宋"/>
                <w:kern w:val="0"/>
                <w:sz w:val="28"/>
                <w:szCs w:val="28"/>
                <w:lang w:val="en-US"/>
              </w:rPr>
            </w:pPr>
            <w:r>
              <w:rPr>
                <w:rFonts w:hint="eastAsia" w:ascii="仿宋" w:hAnsi="仿宋" w:eastAsia="仿宋" w:cs="仿宋"/>
                <w:kern w:val="0"/>
                <w:sz w:val="28"/>
                <w:szCs w:val="28"/>
                <w:lang w:val="en-US" w:eastAsia="zh-CN"/>
              </w:rPr>
              <w:t>结合财会核算方法，运用Python分析和可视化经营数据，按照设定公式和模版完成数据分析与展示</w:t>
            </w:r>
          </w:p>
        </w:tc>
        <w:tc>
          <w:tcPr>
            <w:tcW w:w="2754"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根据经营分析报表模板从给定的业财资料中提取数据并完成数据采集分析，按设置公式和生成的数据、可视化图表评分</w:t>
            </w:r>
          </w:p>
        </w:tc>
        <w:tc>
          <w:tcPr>
            <w:tcW w:w="1541" w:type="dxa"/>
            <w:noWrap w:val="0"/>
            <w:vAlign w:val="center"/>
          </w:tcPr>
          <w:p>
            <w:pPr>
              <w:widowControl/>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1" w:type="dxa"/>
            <w:noWrap w:val="0"/>
            <w:vAlign w:val="center"/>
          </w:tcPr>
          <w:p>
            <w:pPr>
              <w:widowControl/>
              <w:ind w:firstLine="0" w:firstLineChars="0"/>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4）</w:t>
            </w:r>
          </w:p>
        </w:tc>
        <w:tc>
          <w:tcPr>
            <w:tcW w:w="1440"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AI数据分析与应用</w:t>
            </w:r>
          </w:p>
        </w:tc>
        <w:tc>
          <w:tcPr>
            <w:tcW w:w="2246" w:type="dxa"/>
            <w:noWrap w:val="0"/>
            <w:vAlign w:val="center"/>
          </w:tcPr>
          <w:p>
            <w:pPr>
              <w:widowControl/>
              <w:ind w:firstLine="0" w:firstLineChars="0"/>
              <w:jc w:val="left"/>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开发及运用AI智能体工具对财务数据进行预测分析，如趋势预测、异常检测等</w:t>
            </w:r>
          </w:p>
        </w:tc>
        <w:tc>
          <w:tcPr>
            <w:tcW w:w="2754" w:type="dxa"/>
            <w:noWrap w:val="0"/>
            <w:vAlign w:val="center"/>
          </w:tcPr>
          <w:p>
            <w:pPr>
              <w:widowControl/>
              <w:ind w:firstLine="0" w:firstLineChars="0"/>
              <w:jc w:val="left"/>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根据系统预先设置的评分标准对选手的计算结果、分析结论等进行评分</w:t>
            </w:r>
          </w:p>
        </w:tc>
        <w:tc>
          <w:tcPr>
            <w:tcW w:w="1541" w:type="dxa"/>
            <w:noWrap w:val="0"/>
            <w:vAlign w:val="center"/>
          </w:tcPr>
          <w:p>
            <w:pPr>
              <w:widowControl/>
              <w:ind w:firstLine="0" w:firstLineChars="0"/>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15%</w:t>
            </w:r>
          </w:p>
        </w:tc>
      </w:tr>
    </w:tbl>
    <w:p>
      <w:pPr>
        <w:widowControl/>
        <w:shd w:val="clear" w:color="auto" w:fill="FFFFFF"/>
        <w:ind w:firstLine="560" w:firstLineChars="0"/>
        <w:rPr>
          <w:rFonts w:hint="eastAsia" w:ascii="Times New Roman" w:hAnsi="Times New Roman" w:eastAsia="方正黑体_GBK" w:cs="Times New Roman"/>
          <w:b w:val="0"/>
          <w:bCs w:val="0"/>
          <w:color w:val="auto"/>
          <w:kern w:val="0"/>
          <w:sz w:val="32"/>
          <w:szCs w:val="32"/>
          <w:shd w:val="clear" w:color="auto" w:fill="FFFFFF"/>
          <w:lang w:val="en-US" w:eastAsia="zh-CN" w:bidi="ar-SA"/>
        </w:rPr>
      </w:pPr>
    </w:p>
    <w:p>
      <w:pPr>
        <w:widowControl/>
        <w:shd w:val="clear" w:color="auto" w:fill="FFFFFF"/>
        <w:ind w:firstLine="560" w:firstLineChars="0"/>
        <w:rPr>
          <w:rFonts w:hint="eastAsia" w:ascii="Times New Roman" w:hAnsi="Times New Roman" w:eastAsia="方正黑体_GBK" w:cs="Times New Roman"/>
          <w:b w:val="0"/>
          <w:bCs w:val="0"/>
          <w:color w:val="auto"/>
          <w:kern w:val="0"/>
          <w:sz w:val="32"/>
          <w:szCs w:val="32"/>
          <w:shd w:val="clear" w:color="auto" w:fill="FFFFFF"/>
          <w:lang w:val="en-US" w:eastAsia="zh-CN" w:bidi="ar-SA"/>
        </w:rPr>
      </w:pPr>
      <w:r>
        <w:rPr>
          <w:rFonts w:hint="eastAsia" w:ascii="Times New Roman" w:hAnsi="Times New Roman" w:eastAsia="方正黑体_GBK" w:cs="Times New Roman"/>
          <w:b w:val="0"/>
          <w:bCs w:val="0"/>
          <w:color w:val="auto"/>
          <w:kern w:val="0"/>
          <w:sz w:val="32"/>
          <w:szCs w:val="32"/>
          <w:shd w:val="clear" w:color="auto" w:fill="FFFFFF"/>
          <w:lang w:val="en-US" w:eastAsia="zh-CN" w:bidi="ar-SA"/>
        </w:rPr>
        <w:t>二、决赛管理决策技能竞赛环节</w:t>
      </w:r>
    </w:p>
    <w:tbl>
      <w:tblPr>
        <w:tblStyle w:val="4"/>
        <w:tblW w:w="4752" w:type="pct"/>
        <w:tblInd w:w="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1947"/>
        <w:gridCol w:w="3224"/>
        <w:gridCol w:w="1245"/>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39"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序号</w:t>
            </w:r>
          </w:p>
        </w:tc>
        <w:tc>
          <w:tcPr>
            <w:tcW w:w="1947"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竞赛内容</w:t>
            </w:r>
          </w:p>
        </w:tc>
        <w:tc>
          <w:tcPr>
            <w:tcW w:w="3225"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技术标准</w:t>
            </w:r>
          </w:p>
        </w:tc>
        <w:tc>
          <w:tcPr>
            <w:tcW w:w="1245"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评分规则</w:t>
            </w:r>
          </w:p>
        </w:tc>
        <w:tc>
          <w:tcPr>
            <w:tcW w:w="1173" w:type="dxa"/>
            <w:noWrap w:val="0"/>
            <w:vAlign w:val="center"/>
          </w:tcPr>
          <w:p>
            <w:pPr>
              <w:widowControl/>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参考分值比重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39"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p>
        </w:tc>
        <w:tc>
          <w:tcPr>
            <w:tcW w:w="1947"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战略管理</w:t>
            </w:r>
          </w:p>
        </w:tc>
        <w:tc>
          <w:tcPr>
            <w:tcW w:w="3225"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应用指引第100号、101号</w:t>
            </w:r>
          </w:p>
        </w:tc>
        <w:tc>
          <w:tcPr>
            <w:tcW w:w="1245" w:type="dxa"/>
            <w:vMerge w:val="restart"/>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根据系统预先设置的评分标准对选手的计算结果、分析结论等进行评分</w:t>
            </w:r>
          </w:p>
        </w:tc>
        <w:tc>
          <w:tcPr>
            <w:tcW w:w="1173"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39"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（2）</w:t>
            </w:r>
          </w:p>
        </w:tc>
        <w:tc>
          <w:tcPr>
            <w:tcW w:w="1947"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预算管理、营运管理</w:t>
            </w:r>
          </w:p>
        </w:tc>
        <w:tc>
          <w:tcPr>
            <w:tcW w:w="3225"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应用指引第200号、201号、203号、第400号、401号、403号</w:t>
            </w:r>
          </w:p>
        </w:tc>
        <w:tc>
          <w:tcPr>
            <w:tcW w:w="1245" w:type="dxa"/>
            <w:vMerge w:val="continue"/>
            <w:noWrap w:val="0"/>
            <w:vAlign w:val="center"/>
          </w:tcPr>
          <w:p>
            <w:pPr>
              <w:widowControl/>
              <w:ind w:firstLine="0" w:firstLineChars="0"/>
              <w:jc w:val="left"/>
              <w:rPr>
                <w:rFonts w:hint="eastAsia" w:ascii="仿宋" w:hAnsi="仿宋" w:eastAsia="仿宋" w:cs="仿宋"/>
                <w:kern w:val="0"/>
                <w:sz w:val="28"/>
                <w:szCs w:val="28"/>
                <w:lang w:eastAsia="zh-CN"/>
              </w:rPr>
            </w:pPr>
          </w:p>
        </w:tc>
        <w:tc>
          <w:tcPr>
            <w:tcW w:w="1173"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25</w:t>
            </w:r>
            <w:r>
              <w:rPr>
                <w:rFonts w:hint="eastAsia" w:ascii="仿宋" w:hAnsi="仿宋" w:eastAsia="仿宋" w:cs="仿宋"/>
                <w:kern w:val="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39"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lang w:eastAsia="zh-CN"/>
              </w:rPr>
              <w:t>）</w:t>
            </w:r>
          </w:p>
        </w:tc>
        <w:tc>
          <w:tcPr>
            <w:tcW w:w="1947"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投融资管理</w:t>
            </w:r>
          </w:p>
        </w:tc>
        <w:tc>
          <w:tcPr>
            <w:tcW w:w="3225"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应用指引第501号、502号</w:t>
            </w:r>
          </w:p>
        </w:tc>
        <w:tc>
          <w:tcPr>
            <w:tcW w:w="1245" w:type="dxa"/>
            <w:vMerge w:val="continue"/>
            <w:noWrap w:val="0"/>
            <w:vAlign w:val="center"/>
          </w:tcPr>
          <w:p>
            <w:pPr>
              <w:widowControl/>
              <w:ind w:firstLine="0" w:firstLineChars="0"/>
              <w:jc w:val="left"/>
              <w:rPr>
                <w:rFonts w:hint="eastAsia" w:ascii="仿宋" w:hAnsi="仿宋" w:eastAsia="仿宋" w:cs="仿宋"/>
                <w:kern w:val="0"/>
                <w:sz w:val="28"/>
                <w:szCs w:val="28"/>
                <w:lang w:eastAsia="zh-CN"/>
              </w:rPr>
            </w:pPr>
          </w:p>
        </w:tc>
        <w:tc>
          <w:tcPr>
            <w:tcW w:w="1173"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25</w:t>
            </w:r>
            <w:r>
              <w:rPr>
                <w:rFonts w:hint="eastAsia" w:ascii="仿宋" w:hAnsi="仿宋" w:eastAsia="仿宋" w:cs="仿宋"/>
                <w:kern w:val="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39"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4</w:t>
            </w:r>
            <w:r>
              <w:rPr>
                <w:rFonts w:hint="eastAsia" w:ascii="仿宋" w:hAnsi="仿宋" w:eastAsia="仿宋" w:cs="仿宋"/>
                <w:kern w:val="0"/>
                <w:sz w:val="28"/>
                <w:szCs w:val="28"/>
                <w:lang w:eastAsia="zh-CN"/>
              </w:rPr>
              <w:t>）</w:t>
            </w:r>
          </w:p>
        </w:tc>
        <w:tc>
          <w:tcPr>
            <w:tcW w:w="1947"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风险管理</w:t>
            </w:r>
          </w:p>
        </w:tc>
        <w:tc>
          <w:tcPr>
            <w:tcW w:w="3225"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应用指引701号</w:t>
            </w:r>
          </w:p>
        </w:tc>
        <w:tc>
          <w:tcPr>
            <w:tcW w:w="1245" w:type="dxa"/>
            <w:vMerge w:val="continue"/>
            <w:noWrap w:val="0"/>
            <w:vAlign w:val="center"/>
          </w:tcPr>
          <w:p>
            <w:pPr>
              <w:widowControl/>
              <w:ind w:firstLine="0" w:firstLineChars="0"/>
              <w:jc w:val="left"/>
              <w:rPr>
                <w:rFonts w:hint="eastAsia" w:ascii="仿宋" w:hAnsi="仿宋" w:eastAsia="仿宋" w:cs="仿宋"/>
                <w:kern w:val="0"/>
                <w:sz w:val="28"/>
                <w:szCs w:val="28"/>
                <w:lang w:eastAsia="zh-CN"/>
              </w:rPr>
            </w:pPr>
          </w:p>
        </w:tc>
        <w:tc>
          <w:tcPr>
            <w:tcW w:w="1173" w:type="dxa"/>
            <w:noWrap w:val="0"/>
            <w:vAlign w:val="center"/>
          </w:tcPr>
          <w:p>
            <w:pPr>
              <w:widowControl/>
              <w:ind w:firstLine="0" w:firstLineChars="0"/>
              <w:jc w:val="center"/>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239" w:type="dxa"/>
            <w:noWrap w:val="0"/>
            <w:vAlign w:val="center"/>
          </w:tcPr>
          <w:p>
            <w:pPr>
              <w:widowControl/>
              <w:ind w:firstLine="0" w:firstLineChars="0"/>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5）</w:t>
            </w:r>
          </w:p>
        </w:tc>
        <w:tc>
          <w:tcPr>
            <w:tcW w:w="1947"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ESG可持续发展</w:t>
            </w:r>
          </w:p>
        </w:tc>
        <w:tc>
          <w:tcPr>
            <w:tcW w:w="3225" w:type="dxa"/>
            <w:noWrap w:val="0"/>
            <w:vAlign w:val="center"/>
          </w:tcPr>
          <w:p>
            <w:pPr>
              <w:widowControl/>
              <w:ind w:firstLine="0" w:firstLineChars="0"/>
              <w:jc w:val="left"/>
              <w:rPr>
                <w:rFonts w:hint="eastAsia" w:ascii="仿宋" w:hAnsi="仿宋" w:eastAsia="仿宋" w:cs="仿宋"/>
                <w:kern w:val="0"/>
                <w:sz w:val="28"/>
                <w:szCs w:val="28"/>
                <w:lang w:eastAsia="zh-CN"/>
              </w:rPr>
            </w:pPr>
            <w:r>
              <w:rPr>
                <w:rFonts w:hint="eastAsia" w:ascii="仿宋" w:hAnsi="仿宋" w:eastAsia="仿宋" w:cs="仿宋"/>
                <w:kern w:val="0"/>
                <w:sz w:val="28"/>
                <w:szCs w:val="28"/>
                <w:lang w:val="en-US" w:eastAsia="zh-CN"/>
              </w:rPr>
              <w:t>在战略管理和投融资管理中结合ESG因素，进行可持续发展的管理分析与决策</w:t>
            </w:r>
          </w:p>
        </w:tc>
        <w:tc>
          <w:tcPr>
            <w:tcW w:w="1245" w:type="dxa"/>
            <w:vMerge w:val="continue"/>
            <w:noWrap w:val="0"/>
            <w:vAlign w:val="center"/>
          </w:tcPr>
          <w:p>
            <w:pPr>
              <w:widowControl/>
              <w:ind w:firstLine="0" w:firstLineChars="0"/>
              <w:jc w:val="left"/>
              <w:rPr>
                <w:rFonts w:hint="eastAsia" w:ascii="仿宋" w:hAnsi="仿宋" w:eastAsia="仿宋" w:cs="仿宋"/>
                <w:kern w:val="0"/>
                <w:sz w:val="28"/>
                <w:szCs w:val="28"/>
                <w:lang w:eastAsia="zh-CN"/>
              </w:rPr>
            </w:pPr>
          </w:p>
        </w:tc>
        <w:tc>
          <w:tcPr>
            <w:tcW w:w="1173" w:type="dxa"/>
            <w:noWrap w:val="0"/>
            <w:vAlign w:val="center"/>
          </w:tcPr>
          <w:p>
            <w:pPr>
              <w:widowControl/>
              <w:ind w:firstLine="0" w:firstLineChars="0"/>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20%</w:t>
            </w:r>
          </w:p>
        </w:tc>
      </w:tr>
    </w:tbl>
    <w:p>
      <w:pPr>
        <w:spacing w:before="0" w:line="520" w:lineRule="exact"/>
        <w:ind w:left="0" w:right="0" w:firstLine="559" w:firstLineChars="0"/>
        <w:rPr>
          <w:rFonts w:hint="default" w:ascii="仿宋" w:hAnsi="仿宋" w:eastAsia="仿宋" w:cs="仿宋"/>
          <w:color w:val="auto"/>
          <w:spacing w:val="-1"/>
          <w:sz w:val="28"/>
          <w:szCs w:val="28"/>
          <w:lang w:val="en-US" w:eastAsia="zh-CN"/>
        </w:rPr>
      </w:pPr>
    </w:p>
    <w:p/>
    <w:sectPr>
      <w:headerReference r:id="rId5" w:type="default"/>
      <w:footerReference r:id="rId6" w:type="default"/>
      <w:pgSz w:w="11906" w:h="16838"/>
      <w:pgMar w:top="1417" w:right="1417" w:bottom="1417" w:left="1417" w:header="737" w:footer="1077" w:gutter="0"/>
      <w:pgNumType w:fmt="decimal"/>
      <w:cols w:space="720" w:num="1"/>
      <w:titlePg/>
      <w:docGrid w:type="lines" w:linePitch="32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34290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2.7pt;height:144pt;width:144pt;mso-position-horizontal:right;mso-position-horizontal-relative:margin;mso-wrap-style:none;z-index:251659264;mso-width-relative:page;mso-height-relative:page;" filled="f" stroked="f" coordsize="21600,21600" o:gfxdata="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x0Bv+dYAAAAGAQAADwAAAAAAAAABACAAAAAiAAAA&#10;ZHJzL2Rvd25yZXYueG1sUEsBAhQAFAAAAAgAh07iQGBycTzQAQAAowMAAA4AAAAAAAAAAQAgAAAA&#10;JQEAAGRycy9lMm9Eb2MueG1sUEsFBgAAAAAGAAYAWQEAAGcFAAAAAA==&#10;">
              <v:fill on="f" focussize="0,0"/>
              <v:stroke on="f" weight="1.2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p>
    <w:pPr>
      <w:pStyle w:val="2"/>
      <w:spacing w:line="360" w:lineRule="auto"/>
      <w:ind w:firstLine="420"/>
      <w:rPr>
        <w:rFonts w:hint="eastAsia" w:ascii="仿宋" w:hAnsi="仿宋" w:cs="仿宋"/>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7DE0B6"/>
    <w:multiLevelType w:val="singleLevel"/>
    <w:tmpl w:val="F27DE0B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873DC"/>
    <w:rsid w:val="14371C0F"/>
    <w:rsid w:val="2D7C19E3"/>
    <w:rsid w:val="73EF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723" w:firstLineChars="200"/>
      <w:jc w:val="both"/>
    </w:pPr>
    <w:rPr>
      <w:rFonts w:ascii="Times New Roman" w:hAnsi="Times New Roman" w:eastAsia="宋体" w:cs="Times New Roman"/>
      <w:kern w:val="2"/>
      <w:sz w:val="28"/>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543</Words>
  <Characters>607</Characters>
  <Lines>0</Lines>
  <Paragraphs>0</Paragraphs>
  <TotalTime>2</TotalTime>
  <ScaleCrop>false</ScaleCrop>
  <LinksUpToDate>false</LinksUpToDate>
  <CharactersWithSpaces>607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2026-09-17T07:08:00Z</dcterms:created>
  <dc:creator>liuliu</dc:creator>
  <cp:lastModifiedBy>任雯君</cp:lastModifiedBy>
  <dcterms:modified xsi:type="dcterms:W3CDTF">2026-09-17T08:01:07Z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eyJoZGlkIjoiMTBlZmYyYWJhYmI1MGNhYTViZjg1NDNmM2QwMTllZGIiLCJ1c2VySWQiOiIzNTE3NTMzMjUifQ==</vt:lpwstr>
  </property>
  <property fmtid="{D5CDD505-2E9C-101B-9397-08002B2CF9AE}" pid="4" name="ICV">
    <vt:lpwstr>4CFDD3E542CC4A5EADED9B8265FD9BD0</vt:lpwstr>
  </property>
</Properties>
</file>